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EC5C" w14:textId="6D0F73A4" w:rsidR="00E510AA" w:rsidRPr="00E510AA" w:rsidRDefault="00E510AA" w:rsidP="007A7A36">
      <w:pPr>
        <w:pStyle w:val="Titre"/>
        <w:spacing w:after="240"/>
        <w:jc w:val="center"/>
        <w:rPr>
          <w:b/>
          <w:bCs/>
          <w:sz w:val="32"/>
          <w:szCs w:val="32"/>
        </w:rPr>
      </w:pPr>
      <w:r w:rsidRPr="00E510AA">
        <w:rPr>
          <w:b/>
          <w:bCs/>
          <w:sz w:val="32"/>
          <w:szCs w:val="32"/>
        </w:rPr>
        <w:t>African Perspectives on Multiple and Intersectional Discrimination against women and girls with disabilities</w:t>
      </w:r>
    </w:p>
    <w:p w14:paraId="501B3D51" w14:textId="77777777" w:rsidR="00AA7A97" w:rsidRPr="005B24D6" w:rsidRDefault="00AA7A97" w:rsidP="00BE2CCB">
      <w:pPr>
        <w:pStyle w:val="Sous-titre"/>
        <w:spacing w:before="0" w:after="160"/>
        <w:rPr>
          <w:sz w:val="24"/>
          <w:szCs w:val="24"/>
        </w:rPr>
      </w:pPr>
      <w:r w:rsidRPr="005B24D6">
        <w:rPr>
          <w:sz w:val="24"/>
          <w:szCs w:val="24"/>
        </w:rPr>
        <w:t>Submission to the CRPD Committee on the guidelines on addressing multiple and intersectional forms of discrimination against women and girls with disabilities</w:t>
      </w:r>
    </w:p>
    <w:p w14:paraId="400C3999" w14:textId="18511500" w:rsidR="00AA7A97" w:rsidRDefault="00AA7A97" w:rsidP="00AA7A97">
      <w:pPr>
        <w:pStyle w:val="HIcorpstexte"/>
        <w:rPr>
          <w:rFonts w:ascii="Aptos" w:hAnsi="Aptos"/>
          <w:b/>
          <w:bCs/>
        </w:rPr>
      </w:pPr>
      <w:r w:rsidRPr="00431D3F">
        <w:rPr>
          <w:rFonts w:ascii="Aptos" w:hAnsi="Aptos"/>
          <w:b/>
          <w:bCs/>
        </w:rPr>
        <w:t>Submitted by</w:t>
      </w:r>
      <w:r w:rsidR="00431D3F" w:rsidRPr="00431D3F">
        <w:rPr>
          <w:rFonts w:ascii="Aptos" w:hAnsi="Aptos"/>
          <w:b/>
          <w:bCs/>
        </w:rPr>
        <w:t xml:space="preserve"> </w:t>
      </w:r>
      <w:r w:rsidRPr="00431D3F">
        <w:rPr>
          <w:rFonts w:ascii="Aptos" w:hAnsi="Aptos"/>
          <w:b/>
          <w:bCs/>
        </w:rPr>
        <w:t>Disabled Women in Africa (DIWA), Humanity &amp; Inclusion</w:t>
      </w:r>
      <w:r w:rsidR="007E3EEB">
        <w:rPr>
          <w:rFonts w:ascii="Aptos" w:hAnsi="Aptos"/>
          <w:b/>
          <w:bCs/>
        </w:rPr>
        <w:t xml:space="preserve"> (HI)</w:t>
      </w:r>
      <w:r w:rsidRPr="00431D3F">
        <w:rPr>
          <w:rFonts w:ascii="Aptos" w:hAnsi="Aptos"/>
          <w:b/>
          <w:bCs/>
        </w:rPr>
        <w:t>, and Partner Organisations on 3</w:t>
      </w:r>
      <w:r w:rsidR="002F0E05" w:rsidRPr="00431D3F">
        <w:rPr>
          <w:rFonts w:ascii="Aptos" w:hAnsi="Aptos"/>
          <w:b/>
          <w:bCs/>
        </w:rPr>
        <w:t xml:space="preserve">1 </w:t>
      </w:r>
      <w:r w:rsidRPr="00431D3F">
        <w:rPr>
          <w:rFonts w:ascii="Aptos" w:hAnsi="Aptos"/>
          <w:b/>
          <w:bCs/>
        </w:rPr>
        <w:t>October 2025.</w:t>
      </w:r>
    </w:p>
    <w:p w14:paraId="21BB04C6" w14:textId="4710EDCB" w:rsidR="00AF1155" w:rsidRPr="00275FD0" w:rsidRDefault="00AF1155" w:rsidP="00AF1155">
      <w:pPr>
        <w:pStyle w:val="HIcorpstexte"/>
        <w:rPr>
          <w:rFonts w:ascii="Aptos" w:hAnsi="Aptos"/>
        </w:rPr>
      </w:pPr>
      <w:r>
        <w:rPr>
          <w:rFonts w:ascii="Aptos" w:hAnsi="Aptos"/>
          <w:b/>
          <w:bCs/>
        </w:rPr>
        <w:t xml:space="preserve">Contacts: </w:t>
      </w:r>
      <w:r w:rsidR="00274498">
        <w:rPr>
          <w:rFonts w:ascii="Aptos" w:hAnsi="Aptos"/>
          <w:b/>
          <w:bCs/>
        </w:rPr>
        <w:br/>
      </w:r>
      <w:r w:rsidRPr="00275FD0">
        <w:rPr>
          <w:rFonts w:ascii="Aptos" w:hAnsi="Aptos"/>
        </w:rPr>
        <w:t xml:space="preserve">Ruth Mkutumula </w:t>
      </w:r>
      <w:hyperlink r:id="rId8" w:history="1">
        <w:r w:rsidRPr="00275FD0">
          <w:rPr>
            <w:rStyle w:val="Lienhypertexte"/>
            <w:rFonts w:ascii="Aptos" w:hAnsi="Aptos"/>
          </w:rPr>
          <w:t>ruthmkutumula@diwaafrica.org</w:t>
        </w:r>
      </w:hyperlink>
      <w:r w:rsidR="00274498">
        <w:t xml:space="preserve">, </w:t>
      </w:r>
      <w:r w:rsidRPr="00275FD0">
        <w:rPr>
          <w:rFonts w:ascii="Aptos" w:hAnsi="Aptos"/>
        </w:rPr>
        <w:t xml:space="preserve">Sophie Pecourt </w:t>
      </w:r>
      <w:hyperlink r:id="rId9" w:history="1">
        <w:r w:rsidRPr="00275FD0">
          <w:rPr>
            <w:rStyle w:val="Lienhypertexte"/>
            <w:rFonts w:ascii="Aptos" w:hAnsi="Aptos"/>
          </w:rPr>
          <w:t>s.pecourt@hi.org</w:t>
        </w:r>
      </w:hyperlink>
      <w:r w:rsidRPr="00275FD0">
        <w:rPr>
          <w:rFonts w:ascii="Aptos" w:hAnsi="Aptos"/>
        </w:rPr>
        <w:t xml:space="preserve"> </w:t>
      </w:r>
    </w:p>
    <w:p w14:paraId="300A6F03" w14:textId="77777777" w:rsidR="00AA7A97" w:rsidRPr="005B24D6" w:rsidRDefault="00AA7A97" w:rsidP="00DF7368">
      <w:pPr>
        <w:pStyle w:val="Titre1"/>
      </w:pPr>
      <w:r w:rsidRPr="00DF7368">
        <w:t>Contributors</w:t>
      </w:r>
    </w:p>
    <w:p w14:paraId="7734FAE2" w14:textId="246EA118" w:rsidR="00615121" w:rsidRDefault="00AA7A97" w:rsidP="00AA7A97">
      <w:pPr>
        <w:rPr>
          <w:lang w:val="en-CA"/>
        </w:rPr>
      </w:pPr>
      <w:r w:rsidRPr="005B24D6">
        <w:rPr>
          <w:b/>
          <w:bCs/>
        </w:rPr>
        <w:t xml:space="preserve">HI-MIW and DIWA would like to acknowledge the significant contributions of </w:t>
      </w:r>
      <w:r>
        <w:rPr>
          <w:b/>
          <w:bCs/>
        </w:rPr>
        <w:t>partner organisations</w:t>
      </w:r>
      <w:r w:rsidR="005757F2">
        <w:rPr>
          <w:b/>
          <w:bCs/>
        </w:rPr>
        <w:t xml:space="preserve">: </w:t>
      </w:r>
      <w:r w:rsidR="00615121" w:rsidRPr="00615121">
        <w:t xml:space="preserve">OFAB, ONG Dedji (Benin), ABPDFH (Burundi), CBCHS (Cameroon), WODAO (Ghana), COVAW, UDPK, WCC (Kenya), NEGWDM (Malawi), AWWDI (Nigeria), UNABU (Rwanda), </w:t>
      </w:r>
      <w:r w:rsidR="005757F2">
        <w:t>BCDC</w:t>
      </w:r>
      <w:r w:rsidR="00C92FF9">
        <w:t xml:space="preserve"> Ziguinchor</w:t>
      </w:r>
      <w:r w:rsidR="00615121" w:rsidRPr="00615121">
        <w:t>, Wildaf Senegal (Senegal), LIDDWA, MUDIWA (Uganda)</w:t>
      </w:r>
    </w:p>
    <w:p w14:paraId="2600E76A" w14:textId="09E1C20B" w:rsidR="00E510AA" w:rsidRPr="000866F2" w:rsidRDefault="00E510AA" w:rsidP="00E510AA">
      <w:pPr>
        <w:rPr>
          <w:rFonts w:ascii="Aptos" w:eastAsia="Aptos" w:hAnsi="Aptos" w:cs="Aptos"/>
        </w:rPr>
      </w:pPr>
      <w:r w:rsidRPr="000866F2">
        <w:rPr>
          <w:rFonts w:ascii="Aptos" w:eastAsia="Aptos" w:hAnsi="Aptos" w:cs="Aptos"/>
        </w:rPr>
        <w:t xml:space="preserve">This submission complements </w:t>
      </w:r>
      <w:r>
        <w:rPr>
          <w:rFonts w:ascii="Aptos" w:eastAsia="Aptos" w:hAnsi="Aptos" w:cs="Aptos"/>
        </w:rPr>
        <w:t>another</w:t>
      </w:r>
      <w:r w:rsidRPr="000866F2">
        <w:rPr>
          <w:rFonts w:ascii="Aptos" w:eastAsia="Aptos" w:hAnsi="Aptos" w:cs="Aptos"/>
        </w:rPr>
        <w:t xml:space="preserve"> one by DIWA and HI, entitled </w:t>
      </w:r>
      <w:r w:rsidRPr="005B24D6">
        <w:rPr>
          <w:rFonts w:ascii="Aptos" w:eastAsia="Aptos" w:hAnsi="Aptos" w:cs="Aptos"/>
        </w:rPr>
        <w:t>"</w:t>
      </w:r>
      <w:hyperlink r:id="rId10" w:history="1">
        <w:r w:rsidRPr="004B39D8">
          <w:rPr>
            <w:rStyle w:val="Lienhypertexte"/>
          </w:rPr>
          <w:t>African Good Practices: informing the CRPD guidelines on addressing multiple and intersectional forms of discrimination against women and girls with disabilities</w:t>
        </w:r>
      </w:hyperlink>
      <w:r w:rsidRPr="005B24D6">
        <w:rPr>
          <w:rFonts w:ascii="Aptos" w:eastAsia="Aptos" w:hAnsi="Aptos" w:cs="Aptos"/>
        </w:rPr>
        <w:t>”</w:t>
      </w:r>
      <w:r>
        <w:rPr>
          <w:rFonts w:ascii="Aptos" w:eastAsia="Aptos" w:hAnsi="Aptos" w:cs="Aptos"/>
        </w:rPr>
        <w:t xml:space="preserve">, </w:t>
      </w:r>
      <w:r w:rsidRPr="000866F2">
        <w:rPr>
          <w:rFonts w:ascii="Aptos" w:eastAsia="Aptos" w:hAnsi="Aptos" w:cs="Aptos"/>
        </w:rPr>
        <w:t>submitted in response to the same call.</w:t>
      </w:r>
    </w:p>
    <w:p w14:paraId="14C3F28D" w14:textId="21F1C70D" w:rsidR="009D2A9D" w:rsidRPr="00FD49AD" w:rsidRDefault="009D2A9D" w:rsidP="00DF7368">
      <w:pPr>
        <w:pStyle w:val="Titre1"/>
      </w:pPr>
      <w:r w:rsidRPr="00FD49AD">
        <w:t>On laws and policies</w:t>
      </w:r>
    </w:p>
    <w:p w14:paraId="5C886C7F" w14:textId="7B29D6E2" w:rsidR="000631E4" w:rsidRDefault="000631E4" w:rsidP="00842040">
      <w:pPr>
        <w:pStyle w:val="Titre2"/>
      </w:pPr>
      <w:bookmarkStart w:id="0" w:name="_Hlk207964630"/>
      <w:r w:rsidRPr="00FD49AD">
        <w:t xml:space="preserve">Do the </w:t>
      </w:r>
      <w:r w:rsidRPr="00DF08F0">
        <w:t>anti</w:t>
      </w:r>
      <w:r w:rsidRPr="00FD49AD">
        <w:t xml:space="preserve">-discrimination legislation and/or policy frameworks in force in your country </w:t>
      </w:r>
      <w:r w:rsidRPr="00FD49AD">
        <w:rPr>
          <w:color w:val="0070C0"/>
        </w:rPr>
        <w:t xml:space="preserve">recognize disability and the denial of reasonable accommodation </w:t>
      </w:r>
      <w:r w:rsidRPr="00FD49AD">
        <w:t>as prohibited forms of discrimination against persons with disabilities?</w:t>
      </w:r>
    </w:p>
    <w:p w14:paraId="4D87D899" w14:textId="77777777" w:rsidR="00A11755" w:rsidRPr="00A11755" w:rsidRDefault="00A11755" w:rsidP="00A11755">
      <w:pPr>
        <w:rPr>
          <w:lang w:val="en-CA"/>
        </w:rPr>
      </w:pPr>
      <w:r w:rsidRPr="00A11755">
        <w:rPr>
          <w:lang w:val="en-CA"/>
        </w:rPr>
        <w:t>Although all African countries are parties to the UN CRPD, recognition of disability as a ground of discrimination remains uneven — and the denial of reasonable accommodation is even less frequently recognized, in both law and practice.</w:t>
      </w:r>
    </w:p>
    <w:p w14:paraId="0FEBC1C7" w14:textId="58B68E36" w:rsidR="001939FE" w:rsidRPr="00A11755" w:rsidRDefault="001939FE" w:rsidP="001939FE">
      <w:pPr>
        <w:rPr>
          <w:lang w:val="en-CA"/>
        </w:rPr>
      </w:pPr>
      <w:r w:rsidRPr="00A11755">
        <w:rPr>
          <w:lang w:val="en-CA"/>
        </w:rPr>
        <w:t xml:space="preserve">Many States have adopted “Disability Acts” to domesticate the CRPD, yet older constitutions often remain unchanged. For instance, </w:t>
      </w:r>
      <w:r w:rsidRPr="00A11755">
        <w:rPr>
          <w:b/>
          <w:bCs/>
          <w:lang w:val="en-CA"/>
        </w:rPr>
        <w:t>Benin</w:t>
      </w:r>
      <w:r w:rsidRPr="00A11755">
        <w:rPr>
          <w:lang w:val="en-CA"/>
        </w:rPr>
        <w:t xml:space="preserve">’s 2019 revision of the 1990 Constitution retained a charity-based approach, </w:t>
      </w:r>
      <w:r w:rsidR="00591BDC">
        <w:rPr>
          <w:lang w:val="en-CA"/>
        </w:rPr>
        <w:t>where</w:t>
      </w:r>
      <w:r w:rsidRPr="00A11755">
        <w:rPr>
          <w:lang w:val="en-CA"/>
        </w:rPr>
        <w:t xml:space="preserve"> “the State looks after disabled persons and the elderly.”</w:t>
      </w:r>
    </w:p>
    <w:p w14:paraId="00279B95" w14:textId="6A8EAB69" w:rsidR="00591BDC" w:rsidRPr="00A11755" w:rsidRDefault="00591BDC" w:rsidP="00591BDC">
      <w:pPr>
        <w:rPr>
          <w:lang w:val="en-CA"/>
        </w:rPr>
      </w:pPr>
      <w:r w:rsidRPr="00A11755">
        <w:rPr>
          <w:b/>
          <w:bCs/>
          <w:lang w:val="en-CA"/>
        </w:rPr>
        <w:t>Kenya</w:t>
      </w:r>
      <w:r w:rsidRPr="00A11755">
        <w:rPr>
          <w:lang w:val="en-CA"/>
        </w:rPr>
        <w:t xml:space="preserve">’s 2025 Persons with Disabilities Act, as well as the Acts in </w:t>
      </w:r>
      <w:r w:rsidRPr="00A11755">
        <w:rPr>
          <w:b/>
          <w:bCs/>
          <w:lang w:val="en-CA"/>
        </w:rPr>
        <w:t>Burundi</w:t>
      </w:r>
      <w:r w:rsidRPr="00A11755">
        <w:rPr>
          <w:lang w:val="en-CA"/>
        </w:rPr>
        <w:t xml:space="preserve"> and </w:t>
      </w:r>
      <w:r w:rsidRPr="00A11755">
        <w:rPr>
          <w:b/>
          <w:bCs/>
          <w:lang w:val="en-CA"/>
        </w:rPr>
        <w:t>Malawi</w:t>
      </w:r>
      <w:r w:rsidR="00FA7D52">
        <w:rPr>
          <w:b/>
          <w:bCs/>
          <w:lang w:val="en-CA"/>
        </w:rPr>
        <w:t xml:space="preserve"> </w:t>
      </w:r>
      <w:r w:rsidR="00FA7D52" w:rsidRPr="00FA7D52">
        <w:rPr>
          <w:lang w:val="en-CA"/>
        </w:rPr>
        <w:t>and</w:t>
      </w:r>
      <w:r w:rsidR="00FA7D52">
        <w:rPr>
          <w:b/>
          <w:bCs/>
          <w:lang w:val="en-CA"/>
        </w:rPr>
        <w:t xml:space="preserve"> Uganda</w:t>
      </w:r>
      <w:r w:rsidRPr="00A11755">
        <w:rPr>
          <w:lang w:val="en-CA"/>
        </w:rPr>
        <w:t xml:space="preserve">, explicitly recognize denial of reasonable accommodation as discrimination and </w:t>
      </w:r>
      <w:r w:rsidR="00FA7D52">
        <w:rPr>
          <w:lang w:val="en-CA"/>
        </w:rPr>
        <w:t xml:space="preserve">some </w:t>
      </w:r>
      <w:r w:rsidRPr="00A11755">
        <w:rPr>
          <w:lang w:val="en-CA"/>
        </w:rPr>
        <w:t xml:space="preserve">set obligations for employers. </w:t>
      </w:r>
      <w:r w:rsidRPr="00A11755">
        <w:rPr>
          <w:b/>
          <w:bCs/>
          <w:lang w:val="en-CA"/>
        </w:rPr>
        <w:t>Nigeria</w:t>
      </w:r>
      <w:r w:rsidRPr="00A11755">
        <w:rPr>
          <w:lang w:val="en-CA"/>
        </w:rPr>
        <w:t xml:space="preserve">’s 2018 Discrimination Against Persons with Disabilities Act also guarantees reasonable accommodation, reinforced by the Labour Act. By contrast, </w:t>
      </w:r>
      <w:r w:rsidRPr="00A11755">
        <w:rPr>
          <w:b/>
          <w:bCs/>
          <w:lang w:val="en-CA"/>
        </w:rPr>
        <w:t>Benin</w:t>
      </w:r>
      <w:r w:rsidRPr="00A11755">
        <w:rPr>
          <w:lang w:val="en-CA"/>
        </w:rPr>
        <w:t xml:space="preserve">, </w:t>
      </w:r>
      <w:r w:rsidRPr="00A11755">
        <w:rPr>
          <w:b/>
          <w:bCs/>
          <w:lang w:val="en-CA"/>
        </w:rPr>
        <w:t>Cameroon</w:t>
      </w:r>
      <w:r w:rsidRPr="00A11755">
        <w:rPr>
          <w:lang w:val="en-CA"/>
        </w:rPr>
        <w:t xml:space="preserve">, </w:t>
      </w:r>
      <w:r w:rsidRPr="00A11755">
        <w:rPr>
          <w:b/>
          <w:bCs/>
          <w:lang w:val="en-CA"/>
        </w:rPr>
        <w:t>Ghana</w:t>
      </w:r>
      <w:r w:rsidRPr="00A11755">
        <w:rPr>
          <w:lang w:val="en-CA"/>
        </w:rPr>
        <w:t xml:space="preserve">, and </w:t>
      </w:r>
      <w:r w:rsidRPr="00A11755">
        <w:rPr>
          <w:b/>
          <w:bCs/>
          <w:lang w:val="en-CA"/>
        </w:rPr>
        <w:t>Senegal</w:t>
      </w:r>
      <w:r w:rsidR="005F5D1D" w:rsidRPr="00981263">
        <w:rPr>
          <w:rStyle w:val="Appelnotedebasdep"/>
        </w:rPr>
        <w:footnoteReference w:id="1"/>
      </w:r>
      <w:r w:rsidR="005F5D1D" w:rsidRPr="00981263">
        <w:t xml:space="preserve"> </w:t>
      </w:r>
      <w:r w:rsidRPr="00A11755">
        <w:rPr>
          <w:lang w:val="en-CA"/>
        </w:rPr>
        <w:t>do not legally recognize denial of reasonable accommodation as discrimination.</w:t>
      </w:r>
    </w:p>
    <w:p w14:paraId="7510F466" w14:textId="70603C46" w:rsidR="005F5D1D" w:rsidRPr="00A11755" w:rsidRDefault="005F5D1D" w:rsidP="005F5D1D">
      <w:pPr>
        <w:rPr>
          <w:lang w:val="en-CA"/>
        </w:rPr>
      </w:pPr>
      <w:r w:rsidRPr="00A11755">
        <w:rPr>
          <w:lang w:val="en-CA"/>
        </w:rPr>
        <w:t xml:space="preserve">Across countries, women-led OPDs report weak enforcement. In Burundi, implementation of the </w:t>
      </w:r>
      <w:hyperlink r:id="rId11" w:history="1">
        <w:r w:rsidRPr="00A11755">
          <w:rPr>
            <w:rStyle w:val="Lienhypertexte"/>
            <w:lang w:val="en-CA"/>
          </w:rPr>
          <w:t>2018 Law on the Rights of Persons with Disabilities</w:t>
        </w:r>
      </w:hyperlink>
      <w:r w:rsidRPr="00A11755">
        <w:rPr>
          <w:lang w:val="en-CA"/>
        </w:rPr>
        <w:t xml:space="preserve"> is limited; in Senegal, the 2010 Social </w:t>
      </w:r>
      <w:r w:rsidRPr="00A11755">
        <w:rPr>
          <w:lang w:val="en-CA"/>
        </w:rPr>
        <w:lastRenderedPageBreak/>
        <w:t xml:space="preserve">Orientation Law still fails to deliver the </w:t>
      </w:r>
      <w:r w:rsidRPr="00A11755">
        <w:rPr>
          <w:i/>
          <w:iCs/>
          <w:lang w:val="en-CA"/>
        </w:rPr>
        <w:t>Carte d’égalité des chances</w:t>
      </w:r>
      <w:r w:rsidRPr="00A11755">
        <w:rPr>
          <w:lang w:val="en-CA"/>
        </w:rPr>
        <w:t xml:space="preserve">; and in Kenya, </w:t>
      </w:r>
      <w:r>
        <w:rPr>
          <w:lang w:val="en-CA"/>
        </w:rPr>
        <w:t>WCC</w:t>
      </w:r>
      <w:r w:rsidRPr="00A11755">
        <w:rPr>
          <w:lang w:val="en-CA"/>
        </w:rPr>
        <w:t xml:space="preserve"> notes that despite progressive laws, enforcement remains a major gap.</w:t>
      </w:r>
    </w:p>
    <w:p w14:paraId="48C4FA07" w14:textId="0720C5FD" w:rsidR="00DD0EAA" w:rsidRPr="00DD0EAA" w:rsidRDefault="00DD0EAA" w:rsidP="00DD0EAA">
      <w:pPr>
        <w:pStyle w:val="Titre3"/>
      </w:pPr>
      <w:r w:rsidRPr="00DD0EAA">
        <w:t>Recommendation</w:t>
      </w:r>
      <w:r w:rsidR="006222E0">
        <w:t>s</w:t>
      </w:r>
    </w:p>
    <w:p w14:paraId="45105629" w14:textId="77777777" w:rsidR="00802534" w:rsidRPr="006222E0" w:rsidRDefault="00DD0EAA" w:rsidP="00DD0EAA">
      <w:pPr>
        <w:rPr>
          <w:b/>
          <w:bCs/>
        </w:rPr>
      </w:pPr>
      <w:r w:rsidRPr="006222E0">
        <w:rPr>
          <w:b/>
          <w:bCs/>
        </w:rPr>
        <w:t>The CRPD Guidelines should</w:t>
      </w:r>
      <w:r w:rsidR="00802534" w:rsidRPr="006222E0">
        <w:rPr>
          <w:b/>
          <w:bCs/>
        </w:rPr>
        <w:t>:</w:t>
      </w:r>
    </w:p>
    <w:p w14:paraId="574188B4" w14:textId="675E3D9B" w:rsidR="0057238B" w:rsidRDefault="0057238B" w:rsidP="0057238B">
      <w:pPr>
        <w:pStyle w:val="Paragraphedeliste"/>
        <w:numPr>
          <w:ilvl w:val="0"/>
          <w:numId w:val="39"/>
        </w:numPr>
      </w:pPr>
      <w:r>
        <w:t>Include clear guidance and examples on recognizing the denial of reasonable accommodation as discrimination, drawing on positive State practice</w:t>
      </w:r>
      <w:r w:rsidR="00474389">
        <w:t>s,</w:t>
      </w:r>
    </w:p>
    <w:p w14:paraId="432DE96D" w14:textId="43C5D665" w:rsidR="0057238B" w:rsidRPr="00DD0EAA" w:rsidRDefault="00474389" w:rsidP="00474389">
      <w:pPr>
        <w:pStyle w:val="Paragraphedeliste"/>
        <w:numPr>
          <w:ilvl w:val="0"/>
          <w:numId w:val="39"/>
        </w:numPr>
      </w:pPr>
      <w:r>
        <w:t>Emphasize that reasonable accommodation must be gender responsive with intersectional approach, enabling women, girls, and diverse persons with disabilities to claim this right in all areas of life</w:t>
      </w:r>
      <w:r w:rsidR="00DD0EAA" w:rsidRPr="00DD0EAA">
        <w:t>.</w:t>
      </w:r>
    </w:p>
    <w:bookmarkEnd w:id="0"/>
    <w:p w14:paraId="739FB976" w14:textId="21E35426" w:rsidR="0031505C" w:rsidRDefault="000631E4" w:rsidP="00842040">
      <w:pPr>
        <w:pStyle w:val="Titre2"/>
      </w:pPr>
      <w:r w:rsidRPr="00FD49AD">
        <w:t xml:space="preserve">Do the anti-discrimination legislation and/or policy frameworks in force in your country </w:t>
      </w:r>
      <w:r w:rsidRPr="0004445D">
        <w:rPr>
          <w:color w:val="0070C0"/>
        </w:rPr>
        <w:t xml:space="preserve">recognize the multiple and intersecting forms of discrimination </w:t>
      </w:r>
      <w:r w:rsidRPr="00FD49AD">
        <w:t>affecting women with disabilities on account of their disability and other factors?</w:t>
      </w:r>
    </w:p>
    <w:p w14:paraId="6FE4D577" w14:textId="5571AB8A" w:rsidR="003C0444" w:rsidRDefault="003C0444" w:rsidP="00481F62">
      <w:r w:rsidRPr="003C0444">
        <w:t>Women and gender-diverse persons with disabilities face multiple and intersecting forms of discrimination rooted in both gender and disability. Across Africa, gender perspectives in disability laws — and disability perspectives in gender policies — remain inconsistent.</w:t>
      </w:r>
    </w:p>
    <w:p w14:paraId="2FB96DB5" w14:textId="5C38E569" w:rsidR="009029EE" w:rsidRPr="00381649" w:rsidRDefault="009029EE" w:rsidP="009029EE">
      <w:pPr>
        <w:rPr>
          <w:lang w:val="en-CA"/>
        </w:rPr>
      </w:pPr>
      <w:r w:rsidRPr="00381649">
        <w:rPr>
          <w:lang w:val="en-CA"/>
        </w:rPr>
        <w:t>Findings from women-led OPDs in seven countries</w:t>
      </w:r>
      <w:r w:rsidR="005D5C3C" w:rsidRPr="00563F34">
        <w:rPr>
          <w:rStyle w:val="Appelnotedebasdep"/>
        </w:rPr>
        <w:footnoteReference w:id="2"/>
      </w:r>
      <w:r w:rsidR="005D5C3C" w:rsidRPr="00563F34">
        <w:t xml:space="preserve"> </w:t>
      </w:r>
      <w:r w:rsidRPr="00381649">
        <w:rPr>
          <w:lang w:val="en-CA"/>
        </w:rPr>
        <w:t xml:space="preserve"> show that while six have gender equality policies, only half mention disability, and most fail to address the specific needs of women with disabilities. Humanity &amp; Inclusion’s 2024 review of GBV policies in 31 countries similarly found women with disabilities invisible in 68% of cases.</w:t>
      </w:r>
      <w:r w:rsidR="005D5C3C" w:rsidRPr="00563F34">
        <w:rPr>
          <w:rStyle w:val="Appelnotedebasdep"/>
        </w:rPr>
        <w:t xml:space="preserve"> </w:t>
      </w:r>
      <w:r w:rsidR="005D5C3C" w:rsidRPr="00563F34">
        <w:rPr>
          <w:rStyle w:val="Appelnotedebasdep"/>
        </w:rPr>
        <w:footnoteReference w:id="3"/>
      </w:r>
    </w:p>
    <w:p w14:paraId="79E301BA" w14:textId="50B0558A" w:rsidR="00563F34" w:rsidRPr="00F26D99" w:rsidRDefault="005D5C3C" w:rsidP="00F26D99">
      <w:pPr>
        <w:rPr>
          <w:lang w:val="en-CA"/>
        </w:rPr>
      </w:pPr>
      <w:r w:rsidRPr="00381649">
        <w:rPr>
          <w:lang w:val="en-CA"/>
        </w:rPr>
        <w:t>Only two disability-related legal frameworks integrate a gender lens, underscoring the need for the CRPD Guidelines to highlight gender-responsive practices. Kenya’s 2025 Persons with Disabilities Act is one such example, aligning with the CRPD and African Disability Protocol, and creating binding state obligations to promote the rights of women with disabilities (Article 10).</w:t>
      </w:r>
      <w:r w:rsidR="00563F34" w:rsidRPr="00563F34">
        <w:rPr>
          <w:rStyle w:val="Appelnotedebasdep"/>
        </w:rPr>
        <w:t xml:space="preserve"> </w:t>
      </w:r>
      <w:r w:rsidR="00563F34" w:rsidRPr="00563F34">
        <w:rPr>
          <w:rStyle w:val="Appelnotedebasdep"/>
        </w:rPr>
        <w:footnoteReference w:id="4"/>
      </w:r>
      <w:r w:rsidRPr="00381649">
        <w:rPr>
          <w:lang w:val="en-CA"/>
        </w:rPr>
        <w:t xml:space="preserve"> Women-led OPDs played a central role in its development.</w:t>
      </w:r>
      <w:r w:rsidR="00563F34" w:rsidRPr="00563F34">
        <w:rPr>
          <w:rStyle w:val="Appelnotedebasdep"/>
          <w:lang w:val="en-CA"/>
        </w:rPr>
        <w:footnoteReference w:id="5"/>
      </w:r>
    </w:p>
    <w:p w14:paraId="502C0169" w14:textId="32632EA6" w:rsidR="00381649" w:rsidRPr="00381649" w:rsidRDefault="00381649" w:rsidP="00381649">
      <w:pPr>
        <w:rPr>
          <w:lang w:val="en-CA"/>
        </w:rPr>
      </w:pPr>
      <w:r w:rsidRPr="00381649">
        <w:rPr>
          <w:lang w:val="en-CA"/>
        </w:rPr>
        <w:t xml:space="preserve">Despite the African Disability Protocol’s recognition of women’s rights, most national disability policies fail to reflect them. Even where gender is mentioned, intersectional discrimination — linked to migration status, indigeneity, ethnicity, or gender identity </w:t>
      </w:r>
      <w:r w:rsidR="00D46867" w:rsidRPr="00F26D99">
        <w:rPr>
          <w:lang w:val="en-CA"/>
        </w:rPr>
        <w:t>etc.</w:t>
      </w:r>
      <w:r w:rsidRPr="00381649">
        <w:rPr>
          <w:lang w:val="en-CA"/>
        </w:rPr>
        <w:t>— remains largely ignored, leaving multi-marginalized women excluded.</w:t>
      </w:r>
    </w:p>
    <w:p w14:paraId="46636E0D" w14:textId="14D96AB3" w:rsidR="00381649" w:rsidRPr="00F26D99" w:rsidRDefault="00381649" w:rsidP="00D2052D">
      <w:pPr>
        <w:rPr>
          <w:lang w:val="en-CA"/>
        </w:rPr>
      </w:pPr>
      <w:r w:rsidRPr="00381649">
        <w:rPr>
          <w:lang w:val="en-CA"/>
        </w:rPr>
        <w:t xml:space="preserve">The new </w:t>
      </w:r>
      <w:hyperlink r:id="rId12" w:history="1">
        <w:r w:rsidRPr="00381649">
          <w:rPr>
            <w:rStyle w:val="Lienhypertexte"/>
            <w:color w:val="auto"/>
            <w:lang w:val="en-CA"/>
          </w:rPr>
          <w:t>African Union Convention on Ending Violence Against Women and Girls</w:t>
        </w:r>
      </w:hyperlink>
      <w:r w:rsidRPr="00381649">
        <w:rPr>
          <w:lang w:val="en-CA"/>
        </w:rPr>
        <w:t xml:space="preserve"> (CEVAWG) offers renewed momentum. Its Article 7 urges States to adopt and enforce laws protecting women and girls with disabilities from violence, discrimination, and exploitation, and to ensure access to holistic, accessible, and tailored support services.</w:t>
      </w:r>
    </w:p>
    <w:p w14:paraId="2E94C92D" w14:textId="77777777" w:rsidR="00C5060C" w:rsidRDefault="00C5060C">
      <w:pPr>
        <w:spacing w:before="0" w:after="160"/>
        <w:rPr>
          <w:b/>
          <w:bCs/>
          <w:lang w:val="en-CA"/>
        </w:rPr>
      </w:pPr>
      <w:r>
        <w:br w:type="page"/>
      </w:r>
    </w:p>
    <w:p w14:paraId="23D06B3A" w14:textId="32A993B8" w:rsidR="006222E0" w:rsidRPr="00DD0EAA" w:rsidRDefault="006222E0" w:rsidP="006222E0">
      <w:pPr>
        <w:pStyle w:val="Titre3"/>
      </w:pPr>
      <w:r w:rsidRPr="00DD0EAA">
        <w:lastRenderedPageBreak/>
        <w:t>Recommendation</w:t>
      </w:r>
      <w:r>
        <w:t>s</w:t>
      </w:r>
    </w:p>
    <w:p w14:paraId="0DAE5B4D" w14:textId="77777777" w:rsidR="006222E0" w:rsidRPr="006222E0" w:rsidRDefault="006222E0" w:rsidP="006222E0">
      <w:pPr>
        <w:rPr>
          <w:b/>
          <w:bCs/>
        </w:rPr>
      </w:pPr>
      <w:r w:rsidRPr="006222E0">
        <w:rPr>
          <w:b/>
          <w:bCs/>
        </w:rPr>
        <w:t>The CRPD Guidelines should:</w:t>
      </w:r>
    </w:p>
    <w:p w14:paraId="68E6A35C" w14:textId="618D1D45" w:rsidR="006A466A" w:rsidRPr="00C74310" w:rsidRDefault="006A466A" w:rsidP="00C74310">
      <w:pPr>
        <w:pStyle w:val="Paragraphedeliste"/>
        <w:numPr>
          <w:ilvl w:val="0"/>
          <w:numId w:val="38"/>
        </w:numPr>
        <w:rPr>
          <w:lang w:val="en-CA"/>
        </w:rPr>
      </w:pPr>
      <w:r w:rsidRPr="00C74310">
        <w:rPr>
          <w:lang w:val="en-CA"/>
        </w:rPr>
        <w:t>Encourage States to</w:t>
      </w:r>
      <w:r w:rsidR="006A0E4E" w:rsidRPr="00C74310">
        <w:rPr>
          <w:lang w:val="en-CA"/>
        </w:rPr>
        <w:t xml:space="preserve"> ratify and further</w:t>
      </w:r>
      <w:r w:rsidRPr="00C74310">
        <w:rPr>
          <w:lang w:val="en-CA"/>
        </w:rPr>
        <w:t xml:space="preserve"> harmonize their legislative framework to align with CRPD and </w:t>
      </w:r>
      <w:r w:rsidR="00CF214D" w:rsidRPr="00C74310">
        <w:rPr>
          <w:lang w:val="en-CA"/>
        </w:rPr>
        <w:t>Afric</w:t>
      </w:r>
      <w:r w:rsidR="00AB4DB1" w:rsidRPr="00C74310">
        <w:rPr>
          <w:lang w:val="en-CA"/>
        </w:rPr>
        <w:t>a</w:t>
      </w:r>
      <w:r w:rsidR="00714A27" w:rsidRPr="00C74310">
        <w:rPr>
          <w:lang w:val="en-CA"/>
        </w:rPr>
        <w:t xml:space="preserve">n </w:t>
      </w:r>
      <w:r w:rsidR="00CF214D" w:rsidRPr="00C74310">
        <w:rPr>
          <w:lang w:val="en-CA"/>
        </w:rPr>
        <w:t xml:space="preserve">Disability </w:t>
      </w:r>
      <w:r w:rsidRPr="00C74310">
        <w:rPr>
          <w:lang w:val="en-CA"/>
        </w:rPr>
        <w:t xml:space="preserve">Protocol, through intensive cooperation with women-led </w:t>
      </w:r>
      <w:r w:rsidR="00AB4DB1" w:rsidRPr="00C74310">
        <w:rPr>
          <w:lang w:val="en-CA"/>
        </w:rPr>
        <w:t>Organizations of Persons with Disabilities</w:t>
      </w:r>
      <w:r w:rsidR="00802534">
        <w:rPr>
          <w:lang w:val="en-CA"/>
        </w:rPr>
        <w:t>,</w:t>
      </w:r>
    </w:p>
    <w:p w14:paraId="2885F744" w14:textId="77EA20ED" w:rsidR="001C4D07" w:rsidRPr="00C74310" w:rsidRDefault="00D2063F" w:rsidP="00C74310">
      <w:pPr>
        <w:pStyle w:val="Paragraphedeliste"/>
        <w:numPr>
          <w:ilvl w:val="0"/>
          <w:numId w:val="38"/>
        </w:numPr>
      </w:pPr>
      <w:r w:rsidRPr="00C74310">
        <w:t>Provide States with practical examples for them to engage with women-led OPDs and other stakeholders to en</w:t>
      </w:r>
      <w:r w:rsidR="005C0033" w:rsidRPr="00C74310">
        <w:t>sure</w:t>
      </w:r>
      <w:r w:rsidR="00446F26" w:rsidRPr="00C74310">
        <w:t xml:space="preserve"> that</w:t>
      </w:r>
      <w:r w:rsidR="005C0033" w:rsidRPr="00C74310">
        <w:t xml:space="preserve"> </w:t>
      </w:r>
      <w:r w:rsidR="00446F26" w:rsidRPr="00C74310">
        <w:t>the anti-discrimination legislation framework is</w:t>
      </w:r>
      <w:r w:rsidR="00C74310" w:rsidRPr="00C74310">
        <w:t xml:space="preserve"> reviewed with a</w:t>
      </w:r>
      <w:r w:rsidR="005C0033" w:rsidRPr="00C74310">
        <w:t xml:space="preserve"> gender</w:t>
      </w:r>
      <w:r w:rsidR="00C74310" w:rsidRPr="00C74310">
        <w:t>-sensitive and</w:t>
      </w:r>
      <w:r w:rsidR="005C0033" w:rsidRPr="00C74310">
        <w:t xml:space="preserve"> disability </w:t>
      </w:r>
      <w:r w:rsidR="00C74310" w:rsidRPr="00C74310">
        <w:t xml:space="preserve">inclusive </w:t>
      </w:r>
      <w:r w:rsidR="00446F26" w:rsidRPr="00C74310">
        <w:t>intersectional approach</w:t>
      </w:r>
      <w:r w:rsidR="00802534">
        <w:t>.</w:t>
      </w:r>
    </w:p>
    <w:p w14:paraId="28123026" w14:textId="2955D9AA" w:rsidR="009D2A9D" w:rsidRPr="00FD49AD" w:rsidRDefault="009D2A9D" w:rsidP="00DF7368">
      <w:pPr>
        <w:pStyle w:val="Titre1"/>
      </w:pPr>
      <w:r w:rsidRPr="00FD49AD">
        <w:t>On disaggregated data</w:t>
      </w:r>
    </w:p>
    <w:p w14:paraId="41A19A35" w14:textId="2CC9699D" w:rsidR="009D2A9D" w:rsidRDefault="000631E4" w:rsidP="00842040">
      <w:pPr>
        <w:pStyle w:val="Titre2"/>
      </w:pPr>
      <w:r w:rsidRPr="00FD49AD">
        <w:t xml:space="preserve">Do authorities in your country </w:t>
      </w:r>
      <w:r w:rsidRPr="00FD49AD">
        <w:rPr>
          <w:color w:val="0070C0"/>
        </w:rPr>
        <w:t xml:space="preserve">collect </w:t>
      </w:r>
      <w:r w:rsidRPr="00792105">
        <w:rPr>
          <w:color w:val="0070C0"/>
        </w:rPr>
        <w:t>data reflecting intersectionality</w:t>
      </w:r>
      <w:r w:rsidRPr="00FD49AD">
        <w:rPr>
          <w:color w:val="0070C0"/>
        </w:rPr>
        <w:t xml:space="preserve"> </w:t>
      </w:r>
      <w:r w:rsidRPr="00792105">
        <w:t>between disability and other factors</w:t>
      </w:r>
      <w:r w:rsidR="00792105">
        <w:t xml:space="preserve">? </w:t>
      </w:r>
    </w:p>
    <w:p w14:paraId="76BA2B7D" w14:textId="77777777" w:rsidR="006A4C08" w:rsidRPr="00123EA1" w:rsidRDefault="006A4C08" w:rsidP="006A4C08">
      <w:pPr>
        <w:rPr>
          <w:lang w:val="en-CA"/>
        </w:rPr>
      </w:pPr>
      <w:r w:rsidRPr="00123EA1">
        <w:rPr>
          <w:lang w:val="en-CA"/>
        </w:rPr>
        <w:t>Collecting disaggregated data— and analysing it through an intersectional lens — is essential to address the discrimination faced by women and girls with disabilities. Yet, across Africa, efforts to gather such quality data remain limited.</w:t>
      </w:r>
    </w:p>
    <w:p w14:paraId="2E443EE0" w14:textId="28084CAF" w:rsidR="006A4C08" w:rsidRPr="00123EA1" w:rsidRDefault="00285BEA" w:rsidP="006A4C08">
      <w:pPr>
        <w:rPr>
          <w:lang w:val="en-CA"/>
        </w:rPr>
      </w:pPr>
      <w:r w:rsidRPr="006421D9">
        <w:rPr>
          <w:lang w:val="en-CA"/>
        </w:rPr>
        <w:t>T</w:t>
      </w:r>
      <w:r w:rsidR="006A4C08" w:rsidRPr="00123EA1">
        <w:rPr>
          <w:lang w:val="en-CA"/>
        </w:rPr>
        <w:t>he Washington Group Short Set of Questions (WGSS) enables disability data collection in censuses and surveys</w:t>
      </w:r>
      <w:r w:rsidRPr="006421D9">
        <w:rPr>
          <w:lang w:val="en-CA"/>
        </w:rPr>
        <w:t xml:space="preserve">. Between </w:t>
      </w:r>
      <w:r w:rsidRPr="00123EA1">
        <w:rPr>
          <w:lang w:val="en-CA"/>
        </w:rPr>
        <w:t>2015–2020, 22 Sub-Saharan African countries applied the WGSS.</w:t>
      </w:r>
      <w:r w:rsidRPr="006421D9">
        <w:rPr>
          <w:rStyle w:val="Appelnotedebasdep"/>
        </w:rPr>
        <w:footnoteReference w:id="6"/>
      </w:r>
      <w:r w:rsidRPr="006421D9">
        <w:t xml:space="preserve"> </w:t>
      </w:r>
      <w:r w:rsidRPr="00123EA1">
        <w:rPr>
          <w:lang w:val="en-CA"/>
        </w:rPr>
        <w:t xml:space="preserve"> </w:t>
      </w:r>
      <w:r w:rsidR="004A20B2">
        <w:rPr>
          <w:lang w:val="en-CA"/>
        </w:rPr>
        <w:t>M</w:t>
      </w:r>
      <w:r w:rsidR="006A4C08" w:rsidRPr="00123EA1">
        <w:rPr>
          <w:lang w:val="en-CA"/>
        </w:rPr>
        <w:t xml:space="preserve">ost countries still treat gender and disability separately. An analysis of 20 </w:t>
      </w:r>
      <w:r w:rsidRPr="006421D9">
        <w:rPr>
          <w:lang w:val="en-CA"/>
        </w:rPr>
        <w:t xml:space="preserve">African </w:t>
      </w:r>
      <w:r w:rsidR="006A4C08" w:rsidRPr="00123EA1">
        <w:rPr>
          <w:lang w:val="en-CA"/>
        </w:rPr>
        <w:t xml:space="preserve">national reports </w:t>
      </w:r>
      <w:r w:rsidRPr="006421D9">
        <w:rPr>
          <w:lang w:val="en-CA"/>
        </w:rPr>
        <w:t>for</w:t>
      </w:r>
      <w:r w:rsidR="006A4C08" w:rsidRPr="00123EA1">
        <w:rPr>
          <w:lang w:val="en-CA"/>
        </w:rPr>
        <w:t xml:space="preserve"> Beijing+30</w:t>
      </w:r>
      <w:r w:rsidRPr="006421D9">
        <w:rPr>
          <w:rStyle w:val="Appelnotedebasdep"/>
          <w:lang w:val="en-CA"/>
        </w:rPr>
        <w:footnoteReference w:id="7"/>
      </w:r>
      <w:r w:rsidRPr="006421D9">
        <w:rPr>
          <w:lang w:val="en-CA"/>
        </w:rPr>
        <w:t xml:space="preserve"> </w:t>
      </w:r>
      <w:r w:rsidR="006A4C08" w:rsidRPr="00123EA1">
        <w:rPr>
          <w:lang w:val="en-CA"/>
        </w:rPr>
        <w:t xml:space="preserve"> found that gender- and disability-disaggregated data remain scarce and underused — with no robust data available in countries such as </w:t>
      </w:r>
      <w:r w:rsidR="006A4C08" w:rsidRPr="00123EA1">
        <w:rPr>
          <w:b/>
          <w:bCs/>
          <w:lang w:val="en-CA"/>
        </w:rPr>
        <w:t>Burundi</w:t>
      </w:r>
      <w:r w:rsidR="006A4C08" w:rsidRPr="00123EA1">
        <w:rPr>
          <w:lang w:val="en-CA"/>
        </w:rPr>
        <w:t xml:space="preserve"> and </w:t>
      </w:r>
      <w:r w:rsidR="006A4C08" w:rsidRPr="00123EA1">
        <w:rPr>
          <w:b/>
          <w:bCs/>
          <w:lang w:val="en-CA"/>
        </w:rPr>
        <w:t>Benin</w:t>
      </w:r>
      <w:r w:rsidR="006A4C08" w:rsidRPr="00123EA1">
        <w:rPr>
          <w:lang w:val="en-CA"/>
        </w:rPr>
        <w:t>.</w:t>
      </w:r>
      <w:r w:rsidR="008B2170" w:rsidRPr="006421D9">
        <w:rPr>
          <w:rStyle w:val="Appelnotedebasdep"/>
          <w:lang w:val="en-CA"/>
        </w:rPr>
        <w:t xml:space="preserve"> </w:t>
      </w:r>
      <w:r w:rsidR="008B2170" w:rsidRPr="006421D9">
        <w:rPr>
          <w:rStyle w:val="Appelnotedebasdep"/>
          <w:lang w:val="en-CA"/>
        </w:rPr>
        <w:footnoteReference w:id="8"/>
      </w:r>
    </w:p>
    <w:p w14:paraId="0B2CDDF6" w14:textId="16D5B391" w:rsidR="006A4C08" w:rsidRPr="00123EA1" w:rsidRDefault="006A4C08" w:rsidP="006A4C08">
      <w:pPr>
        <w:rPr>
          <w:lang w:val="en-CA"/>
        </w:rPr>
      </w:pPr>
      <w:r w:rsidRPr="00123EA1">
        <w:rPr>
          <w:lang w:val="en-CA"/>
        </w:rPr>
        <w:t xml:space="preserve">Some progress is emerging. </w:t>
      </w:r>
      <w:r w:rsidRPr="00123EA1">
        <w:rPr>
          <w:b/>
          <w:bCs/>
          <w:lang w:val="en-CA"/>
        </w:rPr>
        <w:t>Kenya</w:t>
      </w:r>
      <w:r w:rsidRPr="00123EA1">
        <w:rPr>
          <w:lang w:val="en-CA"/>
        </w:rPr>
        <w:t xml:space="preserve">, </w:t>
      </w:r>
      <w:r w:rsidRPr="00123EA1">
        <w:rPr>
          <w:b/>
          <w:bCs/>
          <w:lang w:val="en-CA"/>
        </w:rPr>
        <w:t>Malawi</w:t>
      </w:r>
      <w:r w:rsidRPr="00123EA1">
        <w:rPr>
          <w:lang w:val="en-CA"/>
        </w:rPr>
        <w:t xml:space="preserve">, </w:t>
      </w:r>
      <w:r w:rsidRPr="00123EA1">
        <w:rPr>
          <w:b/>
          <w:bCs/>
          <w:lang w:val="en-CA"/>
        </w:rPr>
        <w:t>Uganda</w:t>
      </w:r>
      <w:r w:rsidRPr="00123EA1">
        <w:rPr>
          <w:lang w:val="en-CA"/>
        </w:rPr>
        <w:t xml:space="preserve">, </w:t>
      </w:r>
      <w:r w:rsidRPr="00123EA1">
        <w:rPr>
          <w:b/>
          <w:bCs/>
          <w:lang w:val="en-CA"/>
        </w:rPr>
        <w:t>Nigeria</w:t>
      </w:r>
      <w:r w:rsidRPr="00123EA1">
        <w:rPr>
          <w:lang w:val="en-CA"/>
        </w:rPr>
        <w:t xml:space="preserve">, and </w:t>
      </w:r>
      <w:r w:rsidRPr="00123EA1">
        <w:rPr>
          <w:b/>
          <w:bCs/>
          <w:lang w:val="en-CA"/>
        </w:rPr>
        <w:t>Rwanda</w:t>
      </w:r>
      <w:r w:rsidRPr="00123EA1">
        <w:rPr>
          <w:lang w:val="en-CA"/>
        </w:rPr>
        <w:t xml:space="preserve">, now offer limited cross-analysis of gender and disability data. </w:t>
      </w:r>
      <w:r w:rsidRPr="00123EA1">
        <w:rPr>
          <w:b/>
          <w:bCs/>
          <w:lang w:val="en-CA"/>
        </w:rPr>
        <w:t>Senegal’s</w:t>
      </w:r>
      <w:r w:rsidRPr="00123EA1">
        <w:rPr>
          <w:lang w:val="en-CA"/>
        </w:rPr>
        <w:t xml:space="preserve"> 2024 Population and Housing Report includes gender-disaggregated data in its disability chapter — though the women’s chapter still lacks a disability perspective.</w:t>
      </w:r>
      <w:r w:rsidR="008B2170" w:rsidRPr="006421D9">
        <w:rPr>
          <w:rStyle w:val="Appelnotedebasdep"/>
          <w:lang w:val="en-CA"/>
        </w:rPr>
        <w:footnoteReference w:id="9"/>
      </w:r>
    </w:p>
    <w:p w14:paraId="3C218E58" w14:textId="1F29D819" w:rsidR="00123EA1" w:rsidRPr="00123EA1" w:rsidRDefault="00123EA1" w:rsidP="00123EA1">
      <w:pPr>
        <w:rPr>
          <w:lang w:val="en-CA"/>
        </w:rPr>
      </w:pPr>
      <w:r w:rsidRPr="00123EA1">
        <w:rPr>
          <w:lang w:val="en-CA"/>
        </w:rPr>
        <w:t xml:space="preserve">Systematic inclusion of disability as a data variable is vital to reveal the realities of women with disabilities. </w:t>
      </w:r>
      <w:r w:rsidR="006421D9" w:rsidRPr="006421D9">
        <w:t>Beyond addressing statistical invisibility, qualitative data are also essential</w:t>
      </w:r>
      <w:r w:rsidRPr="00123EA1">
        <w:rPr>
          <w:lang w:val="en-CA"/>
        </w:rPr>
        <w:t xml:space="preserve">. HI–Making It Work’s </w:t>
      </w:r>
      <w:r w:rsidRPr="00123EA1">
        <w:rPr>
          <w:i/>
          <w:iCs/>
          <w:lang w:val="en-CA"/>
        </w:rPr>
        <w:t>“Voices of…”</w:t>
      </w:r>
      <w:r w:rsidRPr="00123EA1">
        <w:rPr>
          <w:lang w:val="en-CA"/>
        </w:rPr>
        <w:t xml:space="preserve"> collection illustrates how women with disabilities are documenting and sharing the diverse realities of their lives and communities.</w:t>
      </w:r>
      <w:r w:rsidR="006421D9" w:rsidRPr="006421D9">
        <w:rPr>
          <w:rStyle w:val="Appelnotedebasdep"/>
          <w:lang w:val="en-CA"/>
        </w:rPr>
        <w:footnoteReference w:id="10"/>
      </w:r>
    </w:p>
    <w:p w14:paraId="2B6BBCF5" w14:textId="77777777" w:rsidR="006222E0" w:rsidRPr="00DD0EAA" w:rsidRDefault="006222E0" w:rsidP="006222E0">
      <w:pPr>
        <w:pStyle w:val="Titre3"/>
      </w:pPr>
      <w:r w:rsidRPr="00DD0EAA">
        <w:t>Recommendation</w:t>
      </w:r>
      <w:r>
        <w:t>s</w:t>
      </w:r>
    </w:p>
    <w:p w14:paraId="5F3CDD24" w14:textId="77777777" w:rsidR="006222E0" w:rsidRPr="006222E0" w:rsidRDefault="006222E0" w:rsidP="006222E0">
      <w:pPr>
        <w:rPr>
          <w:b/>
          <w:bCs/>
        </w:rPr>
      </w:pPr>
      <w:r w:rsidRPr="006222E0">
        <w:rPr>
          <w:b/>
          <w:bCs/>
        </w:rPr>
        <w:t>The CRPD Guidelines should:</w:t>
      </w:r>
    </w:p>
    <w:p w14:paraId="377910CA" w14:textId="0466A0FC" w:rsidR="006B463F" w:rsidRPr="008F631B" w:rsidRDefault="006B463F" w:rsidP="006B463F">
      <w:pPr>
        <w:numPr>
          <w:ilvl w:val="0"/>
          <w:numId w:val="37"/>
        </w:numPr>
        <w:rPr>
          <w:lang w:val="en-CA"/>
        </w:rPr>
      </w:pPr>
      <w:r w:rsidRPr="008F631B">
        <w:rPr>
          <w:lang w:val="en-CA"/>
        </w:rPr>
        <w:t xml:space="preserve">Encourage States to systematically integrate the Washington Group Short Set (WG-SS) of questions within individual-level census questionnaires and other national data collection tools, ensuring the disaggregation of data by </w:t>
      </w:r>
      <w:r w:rsidR="00842040" w:rsidRPr="008F631B">
        <w:rPr>
          <w:lang w:val="en-CA"/>
        </w:rPr>
        <w:t>gender</w:t>
      </w:r>
      <w:r w:rsidRPr="008F631B">
        <w:rPr>
          <w:lang w:val="en-CA"/>
        </w:rPr>
        <w:t>, age, and disability</w:t>
      </w:r>
      <w:r w:rsidR="00842040" w:rsidRPr="008F631B">
        <w:rPr>
          <w:lang w:val="en-CA"/>
        </w:rPr>
        <w:t xml:space="preserve"> among other characteristics</w:t>
      </w:r>
      <w:r w:rsidR="008F631B" w:rsidRPr="008F631B">
        <w:rPr>
          <w:lang w:val="en-CA"/>
        </w:rPr>
        <w:t>,</w:t>
      </w:r>
    </w:p>
    <w:p w14:paraId="49801398" w14:textId="703A8530" w:rsidR="00830CD5" w:rsidRPr="008F631B" w:rsidRDefault="00830CD5" w:rsidP="00830CD5">
      <w:pPr>
        <w:pStyle w:val="Paragraphedeliste"/>
        <w:numPr>
          <w:ilvl w:val="0"/>
          <w:numId w:val="37"/>
        </w:numPr>
      </w:pPr>
      <w:r w:rsidRPr="008F631B">
        <w:lastRenderedPageBreak/>
        <w:t>Encourage States to consistently involve women-led OPDs in national consultations</w:t>
      </w:r>
      <w:r w:rsidR="008F631B" w:rsidRPr="008F631B">
        <w:t>,</w:t>
      </w:r>
    </w:p>
    <w:p w14:paraId="3A85D85F" w14:textId="101471A2" w:rsidR="006B463F" w:rsidRPr="008F631B" w:rsidRDefault="006B463F" w:rsidP="006B463F">
      <w:pPr>
        <w:numPr>
          <w:ilvl w:val="0"/>
          <w:numId w:val="37"/>
        </w:numPr>
        <w:rPr>
          <w:lang w:val="en-CA"/>
        </w:rPr>
      </w:pPr>
      <w:r w:rsidRPr="008F631B">
        <w:rPr>
          <w:lang w:val="en-CA"/>
        </w:rPr>
        <w:t>Promote the empowerment of women with disabilities to take the lead in documenting their lived realities and generating qualitative dat</w:t>
      </w:r>
      <w:r w:rsidR="00842040" w:rsidRPr="008F631B">
        <w:rPr>
          <w:lang w:val="en-CA"/>
        </w:rPr>
        <w:t>a</w:t>
      </w:r>
      <w:r w:rsidR="008F631B" w:rsidRPr="008F631B">
        <w:rPr>
          <w:lang w:val="en-CA"/>
        </w:rPr>
        <w:t>.</w:t>
      </w:r>
    </w:p>
    <w:p w14:paraId="5491103E" w14:textId="2B04A511" w:rsidR="009D2A9D" w:rsidRPr="00FD49AD" w:rsidRDefault="009D2A9D" w:rsidP="00DF7368">
      <w:pPr>
        <w:pStyle w:val="Titre1"/>
      </w:pPr>
      <w:r w:rsidRPr="00FD49AD">
        <w:t xml:space="preserve">On </w:t>
      </w:r>
      <w:r w:rsidR="00802534">
        <w:t xml:space="preserve">the </w:t>
      </w:r>
      <w:r w:rsidRPr="00FD49AD">
        <w:t>situation of women with disabilities in their</w:t>
      </w:r>
      <w:r w:rsidR="00802534">
        <w:t xml:space="preserve"> </w:t>
      </w:r>
      <w:r w:rsidRPr="00FD49AD">
        <w:t xml:space="preserve">diversities </w:t>
      </w:r>
    </w:p>
    <w:p w14:paraId="2C2CFE72" w14:textId="73F73599" w:rsidR="00416C75" w:rsidRPr="00667B62" w:rsidRDefault="00047D4A" w:rsidP="00842040">
      <w:pPr>
        <w:pStyle w:val="Titre2"/>
      </w:pPr>
      <w:r>
        <w:t xml:space="preserve">And Q5. </w:t>
      </w:r>
      <w:r w:rsidR="00416C75" w:rsidRPr="00FD49AD">
        <w:t>W</w:t>
      </w:r>
      <w:r w:rsidR="000631E4" w:rsidRPr="00FD49AD">
        <w:t xml:space="preserve">hich groups of women and girls with disabilities </w:t>
      </w:r>
      <w:r w:rsidR="000631E4" w:rsidRPr="00FD49AD">
        <w:rPr>
          <w:color w:val="0070C0"/>
        </w:rPr>
        <w:t>face the greatest risks of multiple and intersectional discrimination?</w:t>
      </w:r>
      <w:r w:rsidR="00667B62">
        <w:rPr>
          <w:color w:val="0070C0"/>
        </w:rPr>
        <w:t xml:space="preserve"> </w:t>
      </w:r>
      <w:r w:rsidR="00667B62" w:rsidRPr="00667B62">
        <w:t xml:space="preserve">What are the </w:t>
      </w:r>
      <w:r w:rsidR="00667B62" w:rsidRPr="00667B62">
        <w:rPr>
          <w:color w:val="0070C0"/>
        </w:rPr>
        <w:t xml:space="preserve">main Intersectional risks and forms of discrimination </w:t>
      </w:r>
      <w:r w:rsidR="00667B62" w:rsidRPr="00667B62">
        <w:t>faced by women and girls with disabilities?</w:t>
      </w:r>
    </w:p>
    <w:p w14:paraId="31735975" w14:textId="14B1F22F" w:rsidR="002C3E89" w:rsidRPr="002C3E89" w:rsidRDefault="002C3E89" w:rsidP="002C3E89">
      <w:pPr>
        <w:rPr>
          <w:lang w:val="en-CA"/>
        </w:rPr>
      </w:pPr>
      <w:r w:rsidRPr="002C3E89">
        <w:rPr>
          <w:lang w:val="en-CA"/>
        </w:rPr>
        <w:t xml:space="preserve">Data from </w:t>
      </w:r>
      <w:r w:rsidR="00271C38">
        <w:rPr>
          <w:lang w:val="en-CA"/>
        </w:rPr>
        <w:t>contributing organizations</w:t>
      </w:r>
      <w:r w:rsidRPr="002C3E89">
        <w:rPr>
          <w:lang w:val="en-CA"/>
        </w:rPr>
        <w:t xml:space="preserve"> across </w:t>
      </w:r>
      <w:r w:rsidR="006B6816">
        <w:rPr>
          <w:lang w:val="en-CA"/>
        </w:rPr>
        <w:t>Af</w:t>
      </w:r>
      <w:r w:rsidR="00DB1A01">
        <w:rPr>
          <w:lang w:val="en-CA"/>
        </w:rPr>
        <w:t>r</w:t>
      </w:r>
      <w:r w:rsidR="006B6816">
        <w:rPr>
          <w:lang w:val="en-CA"/>
        </w:rPr>
        <w:t>ican countries</w:t>
      </w:r>
      <w:r w:rsidRPr="002C3E89">
        <w:rPr>
          <w:lang w:val="en-CA"/>
        </w:rPr>
        <w:t xml:space="preserve"> show that certain factors consistently heighten discrimination. </w:t>
      </w:r>
      <w:r w:rsidR="003D1209">
        <w:rPr>
          <w:lang w:val="en-CA"/>
        </w:rPr>
        <w:t>R</w:t>
      </w:r>
      <w:r w:rsidR="003D1209" w:rsidRPr="003D1209">
        <w:t>ural isolation, poverty, and stigma—especially for women with intellectual or psychosocial disabilities—are the main drivers</w:t>
      </w:r>
      <w:r w:rsidRPr="002C3E89">
        <w:rPr>
          <w:lang w:val="en-CA"/>
        </w:rPr>
        <w:t>.</w:t>
      </w:r>
    </w:p>
    <w:p w14:paraId="313BBD43" w14:textId="5F5EA801" w:rsidR="002C3E89" w:rsidRPr="002C3E89" w:rsidRDefault="002C3E89" w:rsidP="002C3E89">
      <w:pPr>
        <w:rPr>
          <w:lang w:val="en-CA"/>
        </w:rPr>
      </w:pPr>
      <w:r w:rsidRPr="002C3E89">
        <w:rPr>
          <w:lang w:val="en-CA"/>
        </w:rPr>
        <w:t xml:space="preserve">Those living in rural or remote areas — notably in Nigeria, Cameroon, Benin, Kenya, and Senegal — face major barriers to services due to isolation. Women and girls with intellectual or psychosocial disabilities are </w:t>
      </w:r>
      <w:r w:rsidR="00C1036C">
        <w:rPr>
          <w:lang w:val="en-CA"/>
        </w:rPr>
        <w:t>cited</w:t>
      </w:r>
      <w:r w:rsidRPr="002C3E89">
        <w:rPr>
          <w:lang w:val="en-CA"/>
        </w:rPr>
        <w:t xml:space="preserve"> </w:t>
      </w:r>
      <w:r w:rsidR="00C1036C">
        <w:rPr>
          <w:lang w:val="en-CA"/>
        </w:rPr>
        <w:t>as m</w:t>
      </w:r>
      <w:r w:rsidRPr="002C3E89">
        <w:rPr>
          <w:lang w:val="en-CA"/>
        </w:rPr>
        <w:t>ost marginalized in Uganda, Cameroon, Burundi, Benin, and Kenya. Poverty further deepens exclusion, particularly in Benin, Burundi, and Senegal. Additional factors include age (both younger and older women), displacement and crisis (as in Cameroon), as well as ethnic or indigenous identity and single motherhood.</w:t>
      </w:r>
    </w:p>
    <w:p w14:paraId="7F908EC2" w14:textId="4D593703" w:rsidR="006A4BB5" w:rsidRDefault="006A4BB5" w:rsidP="00E251FB">
      <w:r w:rsidRPr="006A4BB5">
        <w:t>In 2021, the UN Human Rights Council condemned the high levels of violence against</w:t>
      </w:r>
      <w:r w:rsidR="00C1036C">
        <w:t xml:space="preserve"> </w:t>
      </w:r>
      <w:r w:rsidRPr="006A4BB5">
        <w:t>indigenous women and girls with disabilities, particularly those in rural or migrant</w:t>
      </w:r>
      <w:r w:rsidR="00C1036C">
        <w:t xml:space="preserve"> </w:t>
      </w:r>
      <w:r w:rsidRPr="006A4BB5">
        <w:t>communities.</w:t>
      </w:r>
      <w:r w:rsidR="009264E5">
        <w:rPr>
          <w:rStyle w:val="Appelnotedebasdep"/>
        </w:rPr>
        <w:footnoteReference w:id="11"/>
      </w:r>
    </w:p>
    <w:p w14:paraId="15C00982" w14:textId="228BC941" w:rsidR="00A52B4B" w:rsidRPr="00A52B4B" w:rsidRDefault="00A52B4B" w:rsidP="00A52B4B">
      <w:pPr>
        <w:rPr>
          <w:lang w:val="en-CA"/>
        </w:rPr>
      </w:pPr>
      <w:r w:rsidRPr="00A52B4B">
        <w:rPr>
          <w:lang w:val="en-CA"/>
        </w:rPr>
        <w:t>Women and girls with disabilities face disproportionately high levels of gender-based violence. WHO notes that they are also exposed to specific abuses — including coercion by caregivers or health workers through the withholding of medicines, assistive devices, or care, as well as financial exploitation.</w:t>
      </w:r>
      <w:r w:rsidR="00497011" w:rsidRPr="00194589">
        <w:rPr>
          <w:rStyle w:val="Appelnotedebasdep"/>
        </w:rPr>
        <w:t xml:space="preserve"> </w:t>
      </w:r>
      <w:r w:rsidR="00497011" w:rsidRPr="00194589">
        <w:rPr>
          <w:rStyle w:val="Appelnotedebasdep"/>
        </w:rPr>
        <w:footnoteReference w:id="12"/>
      </w:r>
      <w:r w:rsidRPr="00A52B4B">
        <w:rPr>
          <w:lang w:val="en-CA"/>
        </w:rPr>
        <w:t xml:space="preserve"> Cases of inheritance denial, property expropriation, food deprivation</w:t>
      </w:r>
      <w:r w:rsidR="00497011" w:rsidRPr="00194589">
        <w:rPr>
          <w:rStyle w:val="Appelnotedebasdep"/>
        </w:rPr>
        <w:footnoteReference w:id="13"/>
      </w:r>
      <w:r w:rsidRPr="00A52B4B">
        <w:rPr>
          <w:lang w:val="en-CA"/>
        </w:rPr>
        <w:t>, and even infanticide of girls with disabilities are reported.</w:t>
      </w:r>
      <w:r w:rsidR="00497011" w:rsidRPr="00194589">
        <w:rPr>
          <w:rStyle w:val="Appelnotedebasdep"/>
        </w:rPr>
        <w:t xml:space="preserve"> </w:t>
      </w:r>
      <w:r w:rsidR="00497011" w:rsidRPr="00194589">
        <w:rPr>
          <w:rStyle w:val="Appelnotedebasdep"/>
        </w:rPr>
        <w:footnoteReference w:id="14"/>
      </w:r>
    </w:p>
    <w:p w14:paraId="0A8595E3" w14:textId="67B47916" w:rsidR="006B6816" w:rsidRPr="00A52B4B" w:rsidRDefault="006B6816" w:rsidP="006B6816">
      <w:pPr>
        <w:rPr>
          <w:lang w:val="en-CA"/>
        </w:rPr>
      </w:pPr>
      <w:r w:rsidRPr="00A52B4B">
        <w:rPr>
          <w:lang w:val="en-CA"/>
        </w:rPr>
        <w:t>HI and partners’ 2019 submission to the Special Rapporteur on Violence Against Women further documented forced abortion, contraception, and sterilization, reflecting the widespread denial of women’s capacity to consent in health settings.</w:t>
      </w:r>
      <w:r w:rsidRPr="00194589">
        <w:rPr>
          <w:rStyle w:val="Appelnotedebasdep"/>
        </w:rPr>
        <w:t xml:space="preserve"> </w:t>
      </w:r>
      <w:r w:rsidRPr="00194589">
        <w:rPr>
          <w:rStyle w:val="Appelnotedebasdep"/>
        </w:rPr>
        <w:footnoteReference w:id="15"/>
      </w:r>
    </w:p>
    <w:p w14:paraId="66EBA040" w14:textId="77777777" w:rsidR="00A52B4B" w:rsidRPr="00A52B4B" w:rsidRDefault="00A52B4B" w:rsidP="00A52B4B">
      <w:pPr>
        <w:rPr>
          <w:lang w:val="en-CA"/>
        </w:rPr>
      </w:pPr>
      <w:r w:rsidRPr="00A52B4B">
        <w:rPr>
          <w:lang w:val="en-CA"/>
        </w:rPr>
        <w:t>Women-led OPDs report similar patterns: in Uganda, women with albinism have suffered sexual violence, including “sex experiments” falsely believed to cure HIV; in Benin, young women with sensory impairments in institutions are unable to report abuse due to inaccessible complaint mechanisms.</w:t>
      </w:r>
    </w:p>
    <w:p w14:paraId="0D5F7F87" w14:textId="61C5A1AE" w:rsidR="00A52B4B" w:rsidRPr="00194589" w:rsidRDefault="005241D2" w:rsidP="00567C56">
      <w:r w:rsidRPr="00194589">
        <w:t xml:space="preserve">Overall, examples show that risks vary across contexts and identities; it is neither accurate nor useful to rank groups of women with disabilities as “more” at risk. Their exposure to violence is </w:t>
      </w:r>
      <w:r w:rsidRPr="00194589">
        <w:lastRenderedPageBreak/>
        <w:t>intersectional, shaped by disability, gender, and other factors whose relevance is context specific.</w:t>
      </w:r>
    </w:p>
    <w:p w14:paraId="017FCFAB" w14:textId="77777777" w:rsidR="006222E0" w:rsidRPr="00DD0EAA" w:rsidRDefault="006222E0" w:rsidP="006222E0">
      <w:pPr>
        <w:pStyle w:val="Titre3"/>
      </w:pPr>
      <w:r w:rsidRPr="00DD0EAA">
        <w:t>Recommendation</w:t>
      </w:r>
      <w:r>
        <w:t>s</w:t>
      </w:r>
    </w:p>
    <w:p w14:paraId="1F4E736B" w14:textId="77777777" w:rsidR="006222E0" w:rsidRPr="006222E0" w:rsidRDefault="006222E0" w:rsidP="006222E0">
      <w:pPr>
        <w:rPr>
          <w:b/>
          <w:bCs/>
        </w:rPr>
      </w:pPr>
      <w:r w:rsidRPr="006222E0">
        <w:rPr>
          <w:b/>
          <w:bCs/>
        </w:rPr>
        <w:t>The CRPD Guidelines should:</w:t>
      </w:r>
    </w:p>
    <w:p w14:paraId="771A60C4" w14:textId="1971B012" w:rsidR="00382192" w:rsidRDefault="00382192" w:rsidP="008C257D">
      <w:pPr>
        <w:pStyle w:val="Paragraphedeliste"/>
        <w:numPr>
          <w:ilvl w:val="0"/>
          <w:numId w:val="40"/>
        </w:numPr>
      </w:pPr>
      <w:r>
        <w:t>Encourage States to ratify and implement frameworks such as the African Disability Protocol, the Maputo Protocol, and the AU Convention on Ending Violence Against Women and Girls (EVAWG).</w:t>
      </w:r>
    </w:p>
    <w:p w14:paraId="5E3C2107" w14:textId="77777777" w:rsidR="00382192" w:rsidRDefault="00382192" w:rsidP="008C257D">
      <w:pPr>
        <w:pStyle w:val="Paragraphedeliste"/>
        <w:numPr>
          <w:ilvl w:val="0"/>
          <w:numId w:val="40"/>
        </w:numPr>
      </w:pPr>
      <w:r>
        <w:t>Provide concrete examples and good practices to guide States in addressing multiple and intersectional discrimination, reflecting context-specific factors and diverse impairments.</w:t>
      </w:r>
    </w:p>
    <w:p w14:paraId="04D29F3F" w14:textId="55CB98E2" w:rsidR="00382192" w:rsidRDefault="00382192" w:rsidP="008C257D">
      <w:pPr>
        <w:pStyle w:val="Paragraphedeliste"/>
        <w:numPr>
          <w:ilvl w:val="0"/>
          <w:numId w:val="40"/>
        </w:numPr>
      </w:pPr>
      <w:r>
        <w:t xml:space="preserve">Promote targeted measures for the most underrepresented </w:t>
      </w:r>
      <w:r w:rsidR="007B7282">
        <w:t>women</w:t>
      </w:r>
      <w:r>
        <w:t xml:space="preserve">, including women with intellectual or psychosocial disabilities and </w:t>
      </w:r>
      <w:r w:rsidR="007B7282">
        <w:t>women</w:t>
      </w:r>
      <w:r>
        <w:t xml:space="preserve"> with deafblindness.</w:t>
      </w:r>
    </w:p>
    <w:p w14:paraId="2D17039D" w14:textId="752D2BAB" w:rsidR="00382192" w:rsidRPr="00095DCE" w:rsidRDefault="00382192" w:rsidP="008C257D">
      <w:pPr>
        <w:pStyle w:val="Paragraphedeliste"/>
        <w:numPr>
          <w:ilvl w:val="0"/>
          <w:numId w:val="40"/>
        </w:numPr>
      </w:pPr>
      <w:r>
        <w:t>Foster regional and global learning through collaboration between the CRPD Committee and bodies such as the African Commission on Human and Peoples’ Rights, to document and share promising practices — including initiatives led by women with disabilities such as DIWA’s rural outreach.</w:t>
      </w:r>
    </w:p>
    <w:p w14:paraId="7E3E9810" w14:textId="129805D9" w:rsidR="000631E4" w:rsidRPr="00C5060C" w:rsidRDefault="000631E4" w:rsidP="00095DCE">
      <w:pPr>
        <w:pStyle w:val="Titre2"/>
        <w:numPr>
          <w:ilvl w:val="0"/>
          <w:numId w:val="41"/>
        </w:numPr>
      </w:pPr>
      <w:r w:rsidRPr="00C5060C">
        <w:t xml:space="preserve">Describe the </w:t>
      </w:r>
      <w:r w:rsidRPr="00C5060C">
        <w:rPr>
          <w:color w:val="0070C0"/>
        </w:rPr>
        <w:t>areas of life</w:t>
      </w:r>
      <w:r w:rsidRPr="00C5060C">
        <w:rPr>
          <w:color w:val="00B0F0"/>
        </w:rPr>
        <w:t xml:space="preserve"> </w:t>
      </w:r>
      <w:r w:rsidRPr="00C5060C">
        <w:t>in which women and girls with disabilities exposed to multiple and intersecting forms of discrimination are more excluded from the access and enjoyment of their rights</w:t>
      </w:r>
      <w:r w:rsidR="00416C75" w:rsidRPr="00C5060C">
        <w:t xml:space="preserve"> </w:t>
      </w:r>
    </w:p>
    <w:p w14:paraId="579B6720" w14:textId="6F1D0219" w:rsidR="00D07CF5" w:rsidRDefault="00D07CF5" w:rsidP="000E61BF">
      <w:r w:rsidRPr="00D07CF5">
        <w:t xml:space="preserve">Drawing on data and testimonies from women-led OPDs and inclusive feminist movements — including the </w:t>
      </w:r>
      <w:r w:rsidRPr="00D07CF5">
        <w:rPr>
          <w:i/>
          <w:iCs/>
        </w:rPr>
        <w:t>Powerful Yet Overlooked</w:t>
      </w:r>
      <w:r w:rsidRPr="00D07CF5">
        <w:t xml:space="preserve"> (Beijing+30</w:t>
      </w:r>
      <w:r>
        <w:t>)</w:t>
      </w:r>
      <w:r w:rsidRPr="00D07CF5">
        <w:t xml:space="preserve"> report</w:t>
      </w:r>
      <w:bookmarkStart w:id="1" w:name="_Ref212806622"/>
      <w:r w:rsidRPr="00E05423">
        <w:rPr>
          <w:rStyle w:val="Appelnotedebasdep"/>
        </w:rPr>
        <w:footnoteReference w:id="16"/>
      </w:r>
      <w:bookmarkEnd w:id="1"/>
      <w:r w:rsidRPr="00ED67F3">
        <w:t xml:space="preserve"> </w:t>
      </w:r>
      <w:r w:rsidRPr="00D07CF5">
        <w:t xml:space="preserve"> and HI’s </w:t>
      </w:r>
      <w:r w:rsidRPr="00D07CF5">
        <w:rPr>
          <w:i/>
          <w:iCs/>
        </w:rPr>
        <w:t>Voices of</w:t>
      </w:r>
      <w:r w:rsidRPr="00D07CF5">
        <w:t xml:space="preserve"> series with MUDIWA, LIDDWA, and ABDFH</w:t>
      </w:r>
      <w:r w:rsidRPr="00461562">
        <w:rPr>
          <w:rStyle w:val="Appelnotedebasdep"/>
        </w:rPr>
        <w:footnoteReference w:id="17"/>
      </w:r>
      <w:r w:rsidRPr="00D07CF5">
        <w:t xml:space="preserve"> — this section highlights the structural nature of discrimination. Evidence from Benin, Burundi, Cameroon, Ghana, Kenya, Malawi, Nigeria, Senegal, and Uganda shows that exclusion remains systemic across health, housing, employment, political participation, and access to justice, despite CRPD guarantees.</w:t>
      </w:r>
    </w:p>
    <w:p w14:paraId="0248839E" w14:textId="77777777" w:rsidR="00FF6A4A" w:rsidRPr="00FF6A4A" w:rsidRDefault="00FF6A4A" w:rsidP="00C5060C">
      <w:pPr>
        <w:spacing w:before="120"/>
        <w:rPr>
          <w:b/>
          <w:bCs/>
          <w:lang w:val="en-CA"/>
        </w:rPr>
      </w:pPr>
      <w:r w:rsidRPr="00FF6A4A">
        <w:rPr>
          <w:b/>
          <w:bCs/>
          <w:lang w:val="en-CA"/>
        </w:rPr>
        <w:t>Health</w:t>
      </w:r>
    </w:p>
    <w:p w14:paraId="32EDFDB8" w14:textId="12AFE3B6" w:rsidR="00FF6A4A" w:rsidRPr="00FF6A4A" w:rsidRDefault="00FF6A4A" w:rsidP="00FE4A6E">
      <w:pPr>
        <w:rPr>
          <w:lang w:val="en-CA"/>
        </w:rPr>
      </w:pPr>
      <w:r w:rsidRPr="00FF6A4A">
        <w:rPr>
          <w:lang w:val="en-CA"/>
        </w:rPr>
        <w:t xml:space="preserve">Women and girls with disabilities continue to face systemic discrimination in accessing healthcare, particularly sexual and reproductive health services. Health facilities are often physically inaccessible, health workers lack training in disability inclusion, and informed consent is routinely </w:t>
      </w:r>
      <w:r w:rsidRPr="00864D8F">
        <w:rPr>
          <w:lang w:val="en-CA"/>
        </w:rPr>
        <w:t>denied. In Burundi and Uganda, women reported being humiliated during childbirth and denied care on the basis that “women with disabilities do not belong in maternity wards”</w:t>
      </w:r>
      <w:r w:rsidR="005A5573" w:rsidRPr="00864D8F">
        <w:rPr>
          <w:lang w:val="en-CA"/>
        </w:rPr>
        <w:t>.</w:t>
      </w:r>
      <w:r w:rsidRPr="00864D8F">
        <w:rPr>
          <w:lang w:val="en-CA"/>
        </w:rPr>
        <w:t xml:space="preserve"> In Uganda’s Kassanda district, over 90% of women with psychosocial disabilities interviewed by MUDIWA could </w:t>
      </w:r>
      <w:r w:rsidRPr="00FF6A4A">
        <w:rPr>
          <w:lang w:val="en-CA"/>
        </w:rPr>
        <w:t>not access mental health care due to distance, drug shortages, stigma, and prohibitive costs</w:t>
      </w:r>
      <w:r w:rsidR="00E05423">
        <w:rPr>
          <w:lang w:val="en-CA"/>
        </w:rPr>
        <w:t>.</w:t>
      </w:r>
      <w:r w:rsidR="00176847">
        <w:rPr>
          <w:rStyle w:val="Appelnotedebasdep"/>
          <w:lang w:val="en-CA"/>
        </w:rPr>
        <w:footnoteReference w:id="18"/>
      </w:r>
      <w:r w:rsidRPr="00FF6A4A">
        <w:rPr>
          <w:lang w:val="en-CA"/>
        </w:rPr>
        <w:t xml:space="preserve"> The denial of bodily autonomy and lack of accessible SRH services compound the already heightened risk of violence and poor health outcomes faced by women with disabilities.</w:t>
      </w:r>
    </w:p>
    <w:p w14:paraId="39752914" w14:textId="77777777" w:rsidR="00C5060C" w:rsidRDefault="00C5060C">
      <w:pPr>
        <w:spacing w:before="0" w:after="160"/>
        <w:rPr>
          <w:b/>
          <w:bCs/>
          <w:lang w:val="en-CA"/>
        </w:rPr>
      </w:pPr>
      <w:r>
        <w:rPr>
          <w:b/>
          <w:bCs/>
          <w:lang w:val="en-CA"/>
        </w:rPr>
        <w:br w:type="page"/>
      </w:r>
    </w:p>
    <w:p w14:paraId="6C40E639" w14:textId="1CF68C68" w:rsidR="00FF6A4A" w:rsidRPr="00FF6A4A" w:rsidRDefault="00FF6A4A" w:rsidP="00C5060C">
      <w:pPr>
        <w:spacing w:before="120"/>
        <w:rPr>
          <w:b/>
          <w:bCs/>
          <w:lang w:val="en-CA"/>
        </w:rPr>
      </w:pPr>
      <w:r w:rsidRPr="00FF6A4A">
        <w:rPr>
          <w:b/>
          <w:bCs/>
          <w:lang w:val="en-CA"/>
        </w:rPr>
        <w:lastRenderedPageBreak/>
        <w:t>Housing and Living Conditions</w:t>
      </w:r>
    </w:p>
    <w:p w14:paraId="10CCFB3E" w14:textId="77946017" w:rsidR="00FF6A4A" w:rsidRPr="00FF6A4A" w:rsidRDefault="00FF6A4A" w:rsidP="00FF6A4A">
      <w:pPr>
        <w:rPr>
          <w:b/>
          <w:bCs/>
          <w:lang w:val="en-CA"/>
        </w:rPr>
      </w:pPr>
      <w:r w:rsidRPr="00FF6A4A">
        <w:rPr>
          <w:lang w:val="en-CA"/>
        </w:rPr>
        <w:t>Across contexts, women with disabilities live in precarious and unsafe conditions that violate their right to adequate housing. In Uganda, MUDIWA and LIDDWA</w:t>
      </w:r>
      <w:r w:rsidR="00CE6886">
        <w:rPr>
          <w:rStyle w:val="Appelnotedebasdep"/>
          <w:lang w:val="en-CA"/>
        </w:rPr>
        <w:footnoteReference w:id="19"/>
      </w:r>
      <w:r w:rsidRPr="00FF6A4A">
        <w:rPr>
          <w:lang w:val="en-CA"/>
        </w:rPr>
        <w:t xml:space="preserve"> documented women with psychosocial disabilities living in abandoned buildings, sleeping on verandas or in kitchens of well-wishers, often without food or sanitation. In Burundi, women reported</w:t>
      </w:r>
      <w:r w:rsidR="00103D8F">
        <w:rPr>
          <w:lang w:val="en-CA"/>
        </w:rPr>
        <w:t xml:space="preserve"> to ABPDFH</w:t>
      </w:r>
      <w:r w:rsidR="002E03C9">
        <w:rPr>
          <w:rStyle w:val="Appelnotedebasdep"/>
          <w:lang w:val="en-CA"/>
        </w:rPr>
        <w:footnoteReference w:id="20"/>
      </w:r>
      <w:r w:rsidRPr="00FF6A4A">
        <w:rPr>
          <w:lang w:val="en-CA"/>
        </w:rPr>
        <w:t xml:space="preserve"> being excluded from family housing, evicted from land, or forced to share crowded and unhygienic spaces with animals. Poverty and dependence on relatives make women vulnerable to exploitation and violence, while lack of accessible housing and social protection perpetuates isolation and indignity. In rural areas, inadequate shelter, poor hygiene facilities, and lack of menstrual products directly affect health and self-esteem, reinforcing cycles of exclusion and deprivation</w:t>
      </w:r>
      <w:r w:rsidRPr="00FF6A4A">
        <w:rPr>
          <w:b/>
          <w:bCs/>
          <w:lang w:val="en-CA"/>
        </w:rPr>
        <w:t>.</w:t>
      </w:r>
    </w:p>
    <w:p w14:paraId="002F33FD" w14:textId="77777777" w:rsidR="00FF6A4A" w:rsidRPr="00FF6A4A" w:rsidRDefault="00FF6A4A" w:rsidP="00C5060C">
      <w:pPr>
        <w:spacing w:before="120"/>
        <w:rPr>
          <w:b/>
          <w:bCs/>
          <w:lang w:val="en-CA"/>
        </w:rPr>
      </w:pPr>
      <w:r w:rsidRPr="00FF6A4A">
        <w:rPr>
          <w:b/>
          <w:bCs/>
          <w:lang w:val="en-CA"/>
        </w:rPr>
        <w:t>Political Participation</w:t>
      </w:r>
    </w:p>
    <w:p w14:paraId="530CCFF4" w14:textId="46EDD35E" w:rsidR="008B1243" w:rsidRPr="008B1243" w:rsidRDefault="00FF6A4A" w:rsidP="008B1243">
      <w:pPr>
        <w:rPr>
          <w:lang w:val="en-CA"/>
        </w:rPr>
      </w:pPr>
      <w:r w:rsidRPr="00FF6A4A">
        <w:rPr>
          <w:lang w:val="en-CA"/>
        </w:rPr>
        <w:t xml:space="preserve">Despite progress in women’s political representation in Africa, women with disabilities remain almost entirely excluded from decision-making spaces. </w:t>
      </w:r>
      <w:r w:rsidRPr="00920383">
        <w:rPr>
          <w:lang w:val="en-CA"/>
        </w:rPr>
        <w:t>According to</w:t>
      </w:r>
      <w:r w:rsidR="0004268E" w:rsidRPr="00920383">
        <w:rPr>
          <w:lang w:val="en-CA"/>
        </w:rPr>
        <w:t xml:space="preserve"> the</w:t>
      </w:r>
      <w:r w:rsidR="00920383" w:rsidRPr="00920383">
        <w:rPr>
          <w:lang w:val="en-CA"/>
        </w:rPr>
        <w:t xml:space="preserve"> Beijing+30</w:t>
      </w:r>
      <w:r w:rsidRPr="00920383">
        <w:rPr>
          <w:lang w:val="en-CA"/>
        </w:rPr>
        <w:t xml:space="preserve"> </w:t>
      </w:r>
      <w:r w:rsidRPr="00920383">
        <w:rPr>
          <w:i/>
          <w:iCs/>
          <w:lang w:val="en-CA"/>
        </w:rPr>
        <w:t>Powerful Yet Overlooked</w:t>
      </w:r>
      <w:r w:rsidRPr="00920383">
        <w:rPr>
          <w:lang w:val="en-CA"/>
        </w:rPr>
        <w:t xml:space="preserve"> </w:t>
      </w:r>
      <w:r w:rsidR="009D75DC" w:rsidRPr="00920383">
        <w:rPr>
          <w:lang w:val="en-CA"/>
        </w:rPr>
        <w:t>report</w:t>
      </w:r>
      <w:r w:rsidR="00F85820" w:rsidRPr="00F85820">
        <w:rPr>
          <w:rStyle w:val="Appelnotedebasdep"/>
        </w:rPr>
        <w:fldChar w:fldCharType="begin"/>
      </w:r>
      <w:r w:rsidR="00F85820" w:rsidRPr="00F85820">
        <w:rPr>
          <w:rStyle w:val="Appelnotedebasdep"/>
        </w:rPr>
        <w:instrText xml:space="preserve"> NOTEREF _Ref212806622 \h </w:instrText>
      </w:r>
      <w:r w:rsidR="00F85820">
        <w:rPr>
          <w:rStyle w:val="Appelnotedebasdep"/>
        </w:rPr>
        <w:instrText xml:space="preserve"> \* MERGEFORMAT </w:instrText>
      </w:r>
      <w:r w:rsidR="00F85820" w:rsidRPr="00F85820">
        <w:rPr>
          <w:rStyle w:val="Appelnotedebasdep"/>
        </w:rPr>
      </w:r>
      <w:r w:rsidR="00F85820" w:rsidRPr="00F85820">
        <w:rPr>
          <w:rStyle w:val="Appelnotedebasdep"/>
        </w:rPr>
        <w:fldChar w:fldCharType="separate"/>
      </w:r>
      <w:r w:rsidR="00F85820" w:rsidRPr="00F85820">
        <w:rPr>
          <w:rStyle w:val="Appelnotedebasdep"/>
        </w:rPr>
        <w:t>16</w:t>
      </w:r>
      <w:r w:rsidR="00F85820" w:rsidRPr="00F85820">
        <w:rPr>
          <w:rStyle w:val="Appelnotedebasdep"/>
        </w:rPr>
        <w:fldChar w:fldCharType="end"/>
      </w:r>
      <w:r w:rsidR="005A5573">
        <w:rPr>
          <w:lang w:val="en-CA"/>
        </w:rPr>
        <w:t xml:space="preserve">, </w:t>
      </w:r>
      <w:r w:rsidRPr="00920383">
        <w:rPr>
          <w:lang w:val="en-CA"/>
        </w:rPr>
        <w:t>in 2022 there was no woman with a d</w:t>
      </w:r>
      <w:r w:rsidRPr="00FF6A4A">
        <w:rPr>
          <w:lang w:val="en-CA"/>
        </w:rPr>
        <w:t>isability elected to Parliament in countries such as Burundi, Cameroon, Kenya, Nigeria, Rwanda, or Uganda, outside of disability-specific quotas. Discriminatory laws, such as those in Kenya disqualifying people deemed of “unsound mind” from running for office or voting, systematically exclude women with psychosocial disabilities. Women leaders with disabilities also face ableism within feminist movements, often invited tokenistically rather than as equal partners. Security concerns, poverty, and lack of accessibility in elections further prevent women with disabilities from exercising their political rights. Their underrepresentation perpetuates policies that fail to reflect their realities or address intersectional discrimination.</w:t>
      </w:r>
    </w:p>
    <w:p w14:paraId="2D92B48F" w14:textId="77777777" w:rsidR="008B1243" w:rsidRPr="008B1243" w:rsidRDefault="008B1243" w:rsidP="00C5060C">
      <w:pPr>
        <w:spacing w:before="120"/>
        <w:rPr>
          <w:b/>
          <w:bCs/>
          <w:lang w:val="en-CA"/>
        </w:rPr>
      </w:pPr>
      <w:r w:rsidRPr="008B1243">
        <w:rPr>
          <w:b/>
          <w:bCs/>
          <w:lang w:val="en-CA"/>
        </w:rPr>
        <w:t>Access to Justice</w:t>
      </w:r>
    </w:p>
    <w:p w14:paraId="68056D30" w14:textId="03FFB0E9" w:rsidR="00DB66EF" w:rsidRPr="00DB66EF" w:rsidRDefault="00DB66EF" w:rsidP="00DB66EF">
      <w:pPr>
        <w:rPr>
          <w:lang w:val="en-CA"/>
        </w:rPr>
      </w:pPr>
      <w:r w:rsidRPr="00DB66EF">
        <w:rPr>
          <w:lang w:val="en-CA"/>
        </w:rPr>
        <w:t>Access to justice remains a major gap. Courts and police services are often inaccessible, lack sign-language interpretation, and are hostile to women seeking redress.</w:t>
      </w:r>
      <w:r w:rsidRPr="00122AC8">
        <w:rPr>
          <w:rStyle w:val="Appelnotedebasdep"/>
        </w:rPr>
        <w:fldChar w:fldCharType="begin"/>
      </w:r>
      <w:r w:rsidRPr="00122AC8">
        <w:rPr>
          <w:rStyle w:val="Appelnotedebasdep"/>
        </w:rPr>
        <w:instrText xml:space="preserve"> NOTEREF _Ref212627704 \h  \* MERGEFORMAT </w:instrText>
      </w:r>
      <w:r w:rsidRPr="00122AC8">
        <w:rPr>
          <w:rStyle w:val="Appelnotedebasdep"/>
        </w:rPr>
      </w:r>
      <w:r w:rsidRPr="00122AC8">
        <w:rPr>
          <w:rStyle w:val="Appelnotedebasdep"/>
        </w:rPr>
        <w:fldChar w:fldCharType="separate"/>
      </w:r>
      <w:r w:rsidRPr="00122AC8">
        <w:rPr>
          <w:rStyle w:val="Appelnotedebasdep"/>
        </w:rPr>
        <w:t>16</w:t>
      </w:r>
      <w:r w:rsidRPr="00122AC8">
        <w:rPr>
          <w:rStyle w:val="Appelnotedebasdep"/>
        </w:rPr>
        <w:fldChar w:fldCharType="end"/>
      </w:r>
      <w:r w:rsidRPr="00DB66EF">
        <w:rPr>
          <w:lang w:val="en-CA"/>
        </w:rPr>
        <w:t xml:space="preserve"> In Burundi, testimonies cite corruption, disbelief of women’s testimonies, and absence of procedural accommodations. In Uganda and Benin, many survivors of gender-based violence cannot access legal aid, transport, or recognition of legal capacity.</w:t>
      </w:r>
    </w:p>
    <w:p w14:paraId="333AAADF" w14:textId="58E439B2" w:rsidR="00DB66EF" w:rsidRPr="00DB66EF" w:rsidRDefault="00DB66EF" w:rsidP="00DB66EF">
      <w:pPr>
        <w:rPr>
          <w:lang w:val="en-CA"/>
        </w:rPr>
      </w:pPr>
      <w:r w:rsidRPr="00DB66EF">
        <w:rPr>
          <w:lang w:val="en-CA"/>
        </w:rPr>
        <w:t xml:space="preserve">The </w:t>
      </w:r>
      <w:r w:rsidRPr="00DB66EF">
        <w:rPr>
          <w:i/>
          <w:iCs/>
          <w:lang w:val="en-CA"/>
        </w:rPr>
        <w:t>Forgotten Women, Unspoken Violence</w:t>
      </w:r>
      <w:r w:rsidRPr="00DB66EF">
        <w:rPr>
          <w:lang w:val="en-CA"/>
        </w:rPr>
        <w:t xml:space="preserve"> (HI &amp; PFPC, 2025) report from Senegal shows that women with disabilities rarely access justice or support services due to physical inaccessibility, untrained personnel, and social norms that silence survivors.</w:t>
      </w:r>
      <w:r w:rsidR="0091722F" w:rsidRPr="00122AC8">
        <w:rPr>
          <w:rStyle w:val="Appelnotedebasdep"/>
          <w:lang w:val="en-CA"/>
        </w:rPr>
        <w:t xml:space="preserve"> </w:t>
      </w:r>
      <w:r w:rsidR="0091722F" w:rsidRPr="00122AC8">
        <w:rPr>
          <w:rStyle w:val="Appelnotedebasdep"/>
          <w:lang w:val="en-CA"/>
        </w:rPr>
        <w:footnoteReference w:id="21"/>
      </w:r>
      <w:r w:rsidRPr="00DB66EF">
        <w:rPr>
          <w:lang w:val="en-CA"/>
        </w:rPr>
        <w:t xml:space="preserve"> A 2021 UN Women study found that 79% of respondents reported courts lacked disability-inclusive services, and over half identified systemic discrimination based on disability, poverty, and gender.</w:t>
      </w:r>
      <w:r w:rsidR="00C44F5B" w:rsidRPr="00122AC8">
        <w:rPr>
          <w:rStyle w:val="Appelnotedebasdep"/>
          <w:lang w:val="en-CA"/>
        </w:rPr>
        <w:t xml:space="preserve"> </w:t>
      </w:r>
      <w:r w:rsidR="00C44F5B" w:rsidRPr="00122AC8">
        <w:rPr>
          <w:rStyle w:val="Appelnotedebasdep"/>
          <w:lang w:val="en-CA"/>
        </w:rPr>
        <w:footnoteReference w:id="22"/>
      </w:r>
      <w:r w:rsidR="00C44F5B" w:rsidRPr="00122AC8">
        <w:rPr>
          <w:lang w:val="en-CA"/>
        </w:rPr>
        <w:t xml:space="preserve"> </w:t>
      </w:r>
    </w:p>
    <w:p w14:paraId="1E532825" w14:textId="6AF7FA44" w:rsidR="00FE4A6E" w:rsidRPr="008B627C" w:rsidRDefault="00FE4A6E" w:rsidP="00C5060C">
      <w:pPr>
        <w:spacing w:before="120"/>
        <w:rPr>
          <w:b/>
          <w:bCs/>
          <w:lang w:val="en-CA"/>
        </w:rPr>
      </w:pPr>
      <w:r w:rsidRPr="00FE4A6E">
        <w:rPr>
          <w:b/>
          <w:bCs/>
          <w:lang w:val="en-CA"/>
        </w:rPr>
        <w:t>Living Conditions, Employment and Socio-Economic Rights</w:t>
      </w:r>
    </w:p>
    <w:p w14:paraId="007D2012" w14:textId="23D7AE32" w:rsidR="008F631B" w:rsidRPr="008F631B" w:rsidRDefault="008F631B" w:rsidP="008F631B">
      <w:pPr>
        <w:rPr>
          <w:lang w:val="en-CA"/>
        </w:rPr>
      </w:pPr>
      <w:r w:rsidRPr="008F631B">
        <w:rPr>
          <w:lang w:val="en-CA"/>
        </w:rPr>
        <w:t xml:space="preserve">Women with disabilities face persistent socio-economic marginalization, experiencing higher poverty and unemployment rates than both men with disabilities and non-disabled women, as highlighted in the </w:t>
      </w:r>
      <w:r w:rsidRPr="008F631B">
        <w:rPr>
          <w:i/>
          <w:iCs/>
          <w:lang w:val="en-CA"/>
        </w:rPr>
        <w:t>Beijing+30 Powerful Yet Overlooked</w:t>
      </w:r>
      <w:r w:rsidRPr="008F631B">
        <w:rPr>
          <w:lang w:val="en-CA"/>
        </w:rPr>
        <w:t xml:space="preserve"> report.</w:t>
      </w:r>
      <w:r w:rsidRPr="00D67B1E">
        <w:rPr>
          <w:rStyle w:val="Appelnotedebasdep"/>
        </w:rPr>
        <w:fldChar w:fldCharType="begin"/>
      </w:r>
      <w:r w:rsidRPr="00D67B1E">
        <w:rPr>
          <w:rStyle w:val="Appelnotedebasdep"/>
        </w:rPr>
        <w:instrText xml:space="preserve"> NOTEREF _Ref212806622 \h </w:instrText>
      </w:r>
      <w:r>
        <w:rPr>
          <w:rStyle w:val="Appelnotedebasdep"/>
        </w:rPr>
        <w:instrText xml:space="preserve"> \* MERGEFORMAT </w:instrText>
      </w:r>
      <w:r w:rsidRPr="00D67B1E">
        <w:rPr>
          <w:rStyle w:val="Appelnotedebasdep"/>
        </w:rPr>
      </w:r>
      <w:r w:rsidRPr="00D67B1E">
        <w:rPr>
          <w:rStyle w:val="Appelnotedebasdep"/>
        </w:rPr>
        <w:fldChar w:fldCharType="separate"/>
      </w:r>
      <w:r w:rsidRPr="00D67B1E">
        <w:rPr>
          <w:rStyle w:val="Appelnotedebasdep"/>
        </w:rPr>
        <w:t>16</w:t>
      </w:r>
      <w:r w:rsidRPr="00D67B1E">
        <w:rPr>
          <w:rStyle w:val="Appelnotedebasdep"/>
        </w:rPr>
        <w:fldChar w:fldCharType="end"/>
      </w:r>
      <w:r w:rsidRPr="00871796">
        <w:rPr>
          <w:lang w:val="en-CA"/>
        </w:rPr>
        <w:t xml:space="preserve"> </w:t>
      </w:r>
      <w:r w:rsidRPr="008F631B">
        <w:rPr>
          <w:lang w:val="en-CA"/>
        </w:rPr>
        <w:t xml:space="preserve"> </w:t>
      </w:r>
      <w:r w:rsidR="00DD5EB6">
        <w:rPr>
          <w:lang w:val="en-CA"/>
        </w:rPr>
        <w:t>I</w:t>
      </w:r>
      <w:r w:rsidRPr="008F631B">
        <w:rPr>
          <w:lang w:val="en-CA"/>
        </w:rPr>
        <w:t xml:space="preserve">n Burundi, women are underpaid, hired without contracts, and denied control over income; in Uganda, women with </w:t>
      </w:r>
      <w:r w:rsidRPr="008F631B">
        <w:rPr>
          <w:lang w:val="en-CA"/>
        </w:rPr>
        <w:lastRenderedPageBreak/>
        <w:t>psychosocial disabilities are excluded from livelihood programmes and relegated to low-paid informal work.</w:t>
      </w:r>
    </w:p>
    <w:p w14:paraId="5B440783" w14:textId="1C80EB63" w:rsidR="008F631B" w:rsidRPr="008F631B" w:rsidRDefault="008F631B" w:rsidP="008F631B">
      <w:pPr>
        <w:rPr>
          <w:lang w:val="en-CA"/>
        </w:rPr>
      </w:pPr>
      <w:r w:rsidRPr="008F631B">
        <w:rPr>
          <w:lang w:val="en-CA"/>
        </w:rPr>
        <w:t>The CEDAW Committee has noted their limited access to sports, cultural, and community activities, further reinforcing dependence and invisibility.</w:t>
      </w:r>
      <w:r w:rsidRPr="008F631B">
        <w:rPr>
          <w:rStyle w:val="Appelnotedebasdep"/>
          <w:lang w:val="en-CA"/>
        </w:rPr>
        <w:t xml:space="preserve"> </w:t>
      </w:r>
      <w:r w:rsidRPr="0003366A">
        <w:rPr>
          <w:rStyle w:val="Appelnotedebasdep"/>
          <w:lang w:val="en-CA"/>
        </w:rPr>
        <w:footnoteReference w:id="23"/>
      </w:r>
      <w:r w:rsidRPr="0003366A">
        <w:rPr>
          <w:lang w:val="en-CA"/>
        </w:rPr>
        <w:t xml:space="preserve"> </w:t>
      </w:r>
      <w:r w:rsidRPr="008F631B">
        <w:rPr>
          <w:lang w:val="en-CA"/>
        </w:rPr>
        <w:t xml:space="preserve"> </w:t>
      </w:r>
      <w:r w:rsidR="0031666C" w:rsidRPr="0031666C">
        <w:t>Without targeted measures for decent work, social protection, and community inclusion</w:t>
      </w:r>
      <w:r w:rsidRPr="008F631B">
        <w:rPr>
          <w:lang w:val="en-CA"/>
        </w:rPr>
        <w:t>, women and girls with disabilities remain denied an adequate standard of living and equal participation in society.</w:t>
      </w:r>
    </w:p>
    <w:p w14:paraId="44D5A96B" w14:textId="4D0B876D" w:rsidR="00122AC8" w:rsidRDefault="006222E0" w:rsidP="00C5060C">
      <w:pPr>
        <w:spacing w:before="120"/>
        <w:rPr>
          <w:b/>
          <w:bCs/>
        </w:rPr>
      </w:pPr>
      <w:r w:rsidRPr="00C5060C">
        <w:rPr>
          <w:b/>
          <w:bCs/>
          <w:lang w:val="en-CA"/>
        </w:rPr>
        <w:t>Recommendations</w:t>
      </w:r>
    </w:p>
    <w:p w14:paraId="08277347" w14:textId="765C0FC3" w:rsidR="006222E0" w:rsidRPr="006222E0" w:rsidRDefault="006222E0" w:rsidP="006222E0">
      <w:pPr>
        <w:rPr>
          <w:b/>
          <w:bCs/>
        </w:rPr>
      </w:pPr>
      <w:r w:rsidRPr="006222E0">
        <w:rPr>
          <w:b/>
          <w:bCs/>
        </w:rPr>
        <w:t>The CRPD Guidelines should:</w:t>
      </w:r>
    </w:p>
    <w:p w14:paraId="502D6BDC" w14:textId="48D2864D" w:rsidR="00122AC8" w:rsidRDefault="00122AC8" w:rsidP="00D84109">
      <w:pPr>
        <w:pStyle w:val="Paragraphedeliste"/>
        <w:numPr>
          <w:ilvl w:val="0"/>
          <w:numId w:val="42"/>
        </w:numPr>
      </w:pPr>
      <w:r>
        <w:t>Reference the African Union Convention on Ending Violence Against Women and Girls (AUCEVAWG), highlighting Article 7 as a regional good practice reinforcing CRPD obligations.</w:t>
      </w:r>
    </w:p>
    <w:p w14:paraId="18DEB61E" w14:textId="31778432" w:rsidR="00122AC8" w:rsidRDefault="00122AC8" w:rsidP="00D84109">
      <w:pPr>
        <w:pStyle w:val="Paragraphedeliste"/>
        <w:numPr>
          <w:ilvl w:val="0"/>
          <w:numId w:val="42"/>
        </w:numPr>
      </w:pPr>
      <w:r>
        <w:t>Urge ratification and domestication of the African Disability Protocol.</w:t>
      </w:r>
    </w:p>
    <w:p w14:paraId="3CEFAE4E" w14:textId="4E127C94" w:rsidR="00122AC8" w:rsidRDefault="00122AC8" w:rsidP="00D84109">
      <w:pPr>
        <w:pStyle w:val="Paragraphedeliste"/>
        <w:numPr>
          <w:ilvl w:val="0"/>
          <w:numId w:val="42"/>
        </w:numPr>
      </w:pPr>
      <w:r>
        <w:t>Provide guidance for States to adopt and enforce legal and ethical standards to end forced or coerced medical procedures — such as sterilization, contraception, and abortion — including training for health professionals.</w:t>
      </w:r>
    </w:p>
    <w:p w14:paraId="3250B05A" w14:textId="4FAD288B" w:rsidR="00122AC8" w:rsidRDefault="00122AC8" w:rsidP="00D84109">
      <w:pPr>
        <w:pStyle w:val="Paragraphedeliste"/>
        <w:numPr>
          <w:ilvl w:val="0"/>
          <w:numId w:val="42"/>
        </w:numPr>
      </w:pPr>
      <w:r>
        <w:t>Define the right to adequate and accessible housing with attention to security, accessibility, and affordability for diverse women with disabilities.</w:t>
      </w:r>
    </w:p>
    <w:p w14:paraId="3EDAD1CA" w14:textId="714FBC77" w:rsidR="00122AC8" w:rsidRDefault="00122AC8" w:rsidP="00D84109">
      <w:pPr>
        <w:pStyle w:val="Paragraphedeliste"/>
        <w:numPr>
          <w:ilvl w:val="0"/>
          <w:numId w:val="42"/>
        </w:numPr>
      </w:pPr>
      <w:r>
        <w:t>Share positive examples supporting legal and policy reform to enhance women with disabilities’ political participation, as voters, candidates, and leaders.</w:t>
      </w:r>
    </w:p>
    <w:p w14:paraId="445D2F35" w14:textId="6BAEFC2F" w:rsidR="00122AC8" w:rsidRDefault="00122AC8" w:rsidP="00D84109">
      <w:pPr>
        <w:pStyle w:val="Paragraphedeliste"/>
        <w:numPr>
          <w:ilvl w:val="0"/>
          <w:numId w:val="42"/>
        </w:numPr>
      </w:pPr>
      <w:r>
        <w:t>Emphasize affirmative measures, such as inclusive electoral quotas responsive to both gender and disability, to address structural exclusion from public life.</w:t>
      </w:r>
    </w:p>
    <w:p w14:paraId="6EE4238D" w14:textId="7D79378E" w:rsidR="009D2A9D" w:rsidRPr="00FD49AD" w:rsidRDefault="009D2A9D" w:rsidP="00DF7368">
      <w:pPr>
        <w:pStyle w:val="Titre1"/>
      </w:pPr>
      <w:r w:rsidRPr="00FD49AD">
        <w:t>On good practices and positive measures</w:t>
      </w:r>
    </w:p>
    <w:p w14:paraId="2A0814A3" w14:textId="77777777" w:rsidR="00D84109" w:rsidRDefault="000631E4" w:rsidP="0004014B">
      <w:pPr>
        <w:pStyle w:val="Titre2"/>
      </w:pPr>
      <w:bookmarkStart w:id="2" w:name="_Hlk207964760"/>
      <w:r w:rsidRPr="00FD49AD">
        <w:t xml:space="preserve">Indicate </w:t>
      </w:r>
      <w:r w:rsidRPr="00D84109">
        <w:rPr>
          <w:color w:val="0070C0"/>
        </w:rPr>
        <w:t xml:space="preserve">which remedies are available </w:t>
      </w:r>
      <w:r w:rsidRPr="00FD49AD">
        <w:t xml:space="preserve">to women and girls with disabilities facing multiple and intersecting forms of discrimination. </w:t>
      </w:r>
      <w:bookmarkEnd w:id="2"/>
    </w:p>
    <w:p w14:paraId="6360745B" w14:textId="77777777" w:rsidR="006663BA" w:rsidRPr="006663BA" w:rsidRDefault="006663BA" w:rsidP="006663BA">
      <w:pPr>
        <w:rPr>
          <w:lang w:val="en-CA"/>
        </w:rPr>
      </w:pPr>
      <w:r w:rsidRPr="006663BA">
        <w:rPr>
          <w:lang w:val="en-CA"/>
        </w:rPr>
        <w:t xml:space="preserve">Within the framework of the CRPD and other human rights instruments, </w:t>
      </w:r>
      <w:r w:rsidRPr="006663BA">
        <w:rPr>
          <w:i/>
          <w:iCs/>
          <w:lang w:val="en-CA"/>
        </w:rPr>
        <w:t>remedies</w:t>
      </w:r>
      <w:r w:rsidRPr="006663BA">
        <w:rPr>
          <w:lang w:val="en-CA"/>
        </w:rPr>
        <w:t xml:space="preserve"> refer to legal, institutional, and practical measures that ensure justice, reparation, and non-repetition of rights violations. They include judicial and administrative procedures (courts, tribunals, equality bodies), as well as broader measures such as legal aid, counselling, awareness-raising, and affirmative action.</w:t>
      </w:r>
    </w:p>
    <w:p w14:paraId="065CA852" w14:textId="77777777" w:rsidR="006663BA" w:rsidRPr="006663BA" w:rsidRDefault="006663BA" w:rsidP="006663BA">
      <w:pPr>
        <w:rPr>
          <w:lang w:val="en-CA"/>
        </w:rPr>
      </w:pPr>
      <w:r w:rsidRPr="006663BA">
        <w:rPr>
          <w:lang w:val="en-CA"/>
        </w:rPr>
        <w:t>Under Article 33(2) of the CRPD, States must establish independent frameworks to promote, protect, and monitor the Convention’s implementation — commonly through National Human Rights Institutions (NHRIs), along with equality bodies, ombuds offices, and OPDs.</w:t>
      </w:r>
    </w:p>
    <w:p w14:paraId="2BB1FC6D" w14:textId="06E88F34" w:rsidR="006663BA" w:rsidRPr="006663BA" w:rsidRDefault="006663BA" w:rsidP="006663BA">
      <w:pPr>
        <w:rPr>
          <w:lang w:val="en-CA"/>
        </w:rPr>
      </w:pPr>
      <w:r w:rsidRPr="006663BA">
        <w:rPr>
          <w:lang w:val="en-CA"/>
        </w:rPr>
        <w:t>As of 2017, 21 African NHRIs were fully compliant with the Paris Principles.</w:t>
      </w:r>
      <w:r w:rsidR="00385284" w:rsidRPr="005A0669">
        <w:rPr>
          <w:rStyle w:val="Appelnotedebasdep"/>
        </w:rPr>
        <w:t xml:space="preserve"> </w:t>
      </w:r>
      <w:r w:rsidR="00385284" w:rsidRPr="005A0669">
        <w:rPr>
          <w:rStyle w:val="Appelnotedebasdep"/>
        </w:rPr>
        <w:footnoteReference w:id="24"/>
      </w:r>
      <w:r w:rsidR="00385284" w:rsidRPr="005A0669">
        <w:t xml:space="preserve"> </w:t>
      </w:r>
      <w:r w:rsidRPr="006663BA">
        <w:rPr>
          <w:lang w:val="en-CA"/>
        </w:rPr>
        <w:t xml:space="preserve"> A 2019 GANHRI survey found that 85% of NHRIs could handle individual complaints, all accepted disability-related cases, and 68% had a disability focal point.</w:t>
      </w:r>
      <w:r w:rsidR="00385284" w:rsidRPr="005A0669">
        <w:rPr>
          <w:rStyle w:val="Appelnotedebasdep"/>
        </w:rPr>
        <w:t xml:space="preserve"> </w:t>
      </w:r>
      <w:r w:rsidR="00385284" w:rsidRPr="005A0669">
        <w:rPr>
          <w:rStyle w:val="Appelnotedebasdep"/>
        </w:rPr>
        <w:footnoteReference w:id="25"/>
      </w:r>
    </w:p>
    <w:p w14:paraId="7AA6824B" w14:textId="16C52E66" w:rsidR="006663BA" w:rsidRPr="005A0669" w:rsidRDefault="00930BF5" w:rsidP="006222E0">
      <w:r w:rsidRPr="005A0669">
        <w:t>Though not yet addressed in practice, NHRIs acknowledged intersectional discrimination at their 2025 Conference, pledging to reflect the compounded inequalities faced by women with disabilities and others in future equality strategies.</w:t>
      </w:r>
    </w:p>
    <w:p w14:paraId="3A23A480" w14:textId="77777777" w:rsidR="006222E0" w:rsidRPr="00C5060C" w:rsidRDefault="006222E0" w:rsidP="006222E0">
      <w:pPr>
        <w:pStyle w:val="Titre3"/>
        <w:rPr>
          <w:i/>
          <w:iCs/>
        </w:rPr>
      </w:pPr>
      <w:r w:rsidRPr="00C5060C">
        <w:rPr>
          <w:i/>
          <w:iCs/>
        </w:rPr>
        <w:lastRenderedPageBreak/>
        <w:t xml:space="preserve">Commitments and realities: </w:t>
      </w:r>
      <w:r w:rsidRPr="00C5060C">
        <w:rPr>
          <w:i/>
          <w:iCs/>
          <w:lang w:val="en-GB"/>
        </w:rPr>
        <w:t>Gaps in complaint and monitoring mechanisms</w:t>
      </w:r>
    </w:p>
    <w:p w14:paraId="1BB96568" w14:textId="38F8FCB4" w:rsidR="00590451" w:rsidRPr="00590451" w:rsidRDefault="00590451" w:rsidP="00590451">
      <w:pPr>
        <w:rPr>
          <w:lang w:val="en-CA"/>
        </w:rPr>
      </w:pPr>
      <w:r w:rsidRPr="00590451">
        <w:rPr>
          <w:lang w:val="en-CA"/>
        </w:rPr>
        <w:t>Despite commitments on paper, reports from contributing organisations reveal a different reality. Across countries, implementation remains weak and inconsistent. Most NHRI complaint reports do not specify grounds of discrimination, and disability-based cases appear extremely low. Only South Africa and Rwanda publish disaggregated data</w:t>
      </w:r>
      <w:r w:rsidR="00500FE8" w:rsidRPr="005A0669">
        <w:rPr>
          <w:rStyle w:val="Appelnotedebasdep"/>
        </w:rPr>
        <w:footnoteReference w:id="26"/>
      </w:r>
      <w:r w:rsidRPr="00590451">
        <w:rPr>
          <w:lang w:val="en-CA"/>
        </w:rPr>
        <w:t>.</w:t>
      </w:r>
    </w:p>
    <w:p w14:paraId="3273FF0E" w14:textId="1C05887B" w:rsidR="00590451" w:rsidRPr="00590451" w:rsidRDefault="00590451" w:rsidP="00590451">
      <w:pPr>
        <w:rPr>
          <w:lang w:val="en-CA"/>
        </w:rPr>
      </w:pPr>
      <w:r w:rsidRPr="00590451">
        <w:rPr>
          <w:lang w:val="en-CA"/>
        </w:rPr>
        <w:t>In Burundi, the CNIDH 2024 report contained no disability-related data.</w:t>
      </w:r>
      <w:r w:rsidR="005C6B7E" w:rsidRPr="005A0669">
        <w:rPr>
          <w:rStyle w:val="Appelnotedebasdep"/>
        </w:rPr>
        <w:t xml:space="preserve"> </w:t>
      </w:r>
      <w:r w:rsidR="005C6B7E" w:rsidRPr="005A0669">
        <w:rPr>
          <w:rStyle w:val="Appelnotedebasdep"/>
        </w:rPr>
        <w:footnoteReference w:id="27"/>
      </w:r>
      <w:r w:rsidRPr="00590451">
        <w:rPr>
          <w:lang w:val="en-CA"/>
        </w:rPr>
        <w:t xml:space="preserve"> In Nigeria, the NHRC lacks a disability division, dedicated funding, and trained law enforcement, resulting in few disability cases being pursued. Cameroon’s Human Rights Commission can hear individual complaints but does not systematically record cases by ground; however, some disability cases, such as a 2022 education denial, were successfully resolved.</w:t>
      </w:r>
      <w:r w:rsidR="00500FE8" w:rsidRPr="005A0669">
        <w:rPr>
          <w:rStyle w:val="Appelnotedebasdep"/>
        </w:rPr>
        <w:t xml:space="preserve"> </w:t>
      </w:r>
      <w:r w:rsidR="00500FE8" w:rsidRPr="005A0669">
        <w:rPr>
          <w:rStyle w:val="Appelnotedebasdep"/>
        </w:rPr>
        <w:footnoteReference w:id="28"/>
      </w:r>
    </w:p>
    <w:p w14:paraId="484A3EB4" w14:textId="77777777" w:rsidR="006222E0" w:rsidRPr="00C5060C" w:rsidRDefault="006222E0" w:rsidP="006222E0">
      <w:pPr>
        <w:pStyle w:val="Titre3"/>
        <w:rPr>
          <w:i/>
          <w:iCs/>
        </w:rPr>
      </w:pPr>
      <w:r w:rsidRPr="00C5060C">
        <w:rPr>
          <w:i/>
          <w:iCs/>
        </w:rPr>
        <w:t>Multiple Mechanisms, Limited Impact and Accessibility</w:t>
      </w:r>
    </w:p>
    <w:p w14:paraId="21CDC188" w14:textId="77777777" w:rsidR="001255F2" w:rsidRPr="001255F2" w:rsidRDefault="001255F2" w:rsidP="001255F2">
      <w:pPr>
        <w:rPr>
          <w:lang w:val="en-CA"/>
        </w:rPr>
      </w:pPr>
      <w:r w:rsidRPr="001255F2">
        <w:rPr>
          <w:lang w:val="en-CA"/>
        </w:rPr>
        <w:t>Across countries, formal mechanisms to report rights violations exist but remain largely inaccessible and ineffective for women and girls with disabilities.</w:t>
      </w:r>
    </w:p>
    <w:p w14:paraId="6D864CA1" w14:textId="77777777" w:rsidR="001255F2" w:rsidRPr="001255F2" w:rsidRDefault="001255F2" w:rsidP="001255F2">
      <w:pPr>
        <w:rPr>
          <w:lang w:val="en-CA"/>
        </w:rPr>
      </w:pPr>
      <w:r w:rsidRPr="001255F2">
        <w:rPr>
          <w:lang w:val="en-CA"/>
        </w:rPr>
        <w:t xml:space="preserve">In </w:t>
      </w:r>
      <w:r w:rsidRPr="001255F2">
        <w:rPr>
          <w:b/>
          <w:bCs/>
          <w:lang w:val="en-CA"/>
        </w:rPr>
        <w:t>Burundi</w:t>
      </w:r>
      <w:r w:rsidRPr="001255F2">
        <w:rPr>
          <w:lang w:val="en-CA"/>
        </w:rPr>
        <w:t>, the CNDPH, CNIDH, and Ombudsman’s Office are all mandated to receive complaints but function poorly. The CNDPH, created in 2019, lacks an action plan and impact; the Ombudsman’s Office is physically inaccessible and untrained on disability rights. Despite OPD advocacy, none provide accessible procedures or attention to intersectional discrimination.</w:t>
      </w:r>
    </w:p>
    <w:p w14:paraId="5436AE9A" w14:textId="77777777" w:rsidR="001255F2" w:rsidRPr="001255F2" w:rsidRDefault="001255F2" w:rsidP="001255F2">
      <w:pPr>
        <w:rPr>
          <w:lang w:val="en-CA"/>
        </w:rPr>
      </w:pPr>
      <w:r w:rsidRPr="001255F2">
        <w:rPr>
          <w:lang w:val="en-CA"/>
        </w:rPr>
        <w:t xml:space="preserve">In </w:t>
      </w:r>
      <w:r w:rsidRPr="001255F2">
        <w:rPr>
          <w:b/>
          <w:bCs/>
          <w:lang w:val="en-CA"/>
        </w:rPr>
        <w:t>Malawi</w:t>
      </w:r>
      <w:r w:rsidRPr="001255F2">
        <w:rPr>
          <w:lang w:val="en-CA"/>
        </w:rPr>
        <w:t>, mechanisms such as the MHRC and Ombudsman exist, but few women know how to report violations. Long distances, lack of information, and communication barriers—especially for women with hearing impairments—further restrict access.</w:t>
      </w:r>
    </w:p>
    <w:p w14:paraId="50D53C5C" w14:textId="3DFFE2A4" w:rsidR="001255F2" w:rsidRPr="001255F2" w:rsidRDefault="001255F2" w:rsidP="001255F2">
      <w:pPr>
        <w:rPr>
          <w:lang w:val="en-CA"/>
        </w:rPr>
      </w:pPr>
      <w:r w:rsidRPr="001255F2">
        <w:rPr>
          <w:lang w:val="en-CA"/>
        </w:rPr>
        <w:t xml:space="preserve">In </w:t>
      </w:r>
      <w:r w:rsidRPr="001255F2">
        <w:rPr>
          <w:b/>
          <w:bCs/>
          <w:lang w:val="en-CA"/>
        </w:rPr>
        <w:t>Cameroon</w:t>
      </w:r>
      <w:r w:rsidRPr="001255F2">
        <w:rPr>
          <w:lang w:val="en-CA"/>
        </w:rPr>
        <w:t>, the UNPRPD notes insufficient monitoring and enforcement of disability inclusion, while the judiciary lacks training in disability law.</w:t>
      </w:r>
      <w:r w:rsidR="0014459F" w:rsidRPr="008E0645">
        <w:rPr>
          <w:rStyle w:val="Appelnotedebasdep"/>
        </w:rPr>
        <w:t xml:space="preserve"> </w:t>
      </w:r>
      <w:r w:rsidR="0014459F" w:rsidRPr="008E0645">
        <w:rPr>
          <w:rStyle w:val="Appelnotedebasdep"/>
        </w:rPr>
        <w:footnoteReference w:id="29"/>
      </w:r>
      <w:r w:rsidR="0014459F" w:rsidRPr="008E0645">
        <w:t xml:space="preserve"> </w:t>
      </w:r>
      <w:r w:rsidRPr="001255F2">
        <w:rPr>
          <w:lang w:val="en-CA"/>
        </w:rPr>
        <w:t xml:space="preserve"> The late ratification of the CRPD (2023) and non-acceptance of its Optional Protocol underscore weak accountability.</w:t>
      </w:r>
      <w:r w:rsidR="0014459F" w:rsidRPr="008E0645">
        <w:rPr>
          <w:rStyle w:val="Appelnotedebasdep"/>
        </w:rPr>
        <w:t xml:space="preserve"> </w:t>
      </w:r>
      <w:r w:rsidR="0014459F" w:rsidRPr="008E0645">
        <w:rPr>
          <w:rStyle w:val="Appelnotedebasdep"/>
        </w:rPr>
        <w:footnoteReference w:id="30"/>
      </w:r>
    </w:p>
    <w:p w14:paraId="1F797D46" w14:textId="77777777" w:rsidR="001255F2" w:rsidRPr="001255F2" w:rsidRDefault="001255F2" w:rsidP="001255F2">
      <w:pPr>
        <w:rPr>
          <w:lang w:val="en-CA"/>
        </w:rPr>
      </w:pPr>
      <w:r w:rsidRPr="001255F2">
        <w:rPr>
          <w:lang w:val="en-CA"/>
        </w:rPr>
        <w:t xml:space="preserve">In </w:t>
      </w:r>
      <w:r w:rsidRPr="001255F2">
        <w:rPr>
          <w:b/>
          <w:bCs/>
          <w:lang w:val="en-CA"/>
        </w:rPr>
        <w:t>Ghana</w:t>
      </w:r>
      <w:r w:rsidRPr="001255F2">
        <w:rPr>
          <w:lang w:val="en-CA"/>
        </w:rPr>
        <w:t>, the CHRAJ and Legal Aid Commission provide complaint channels, but rural and non-literate women with disabilities remain excluded.</w:t>
      </w:r>
    </w:p>
    <w:p w14:paraId="12C7B6D5" w14:textId="77777777" w:rsidR="001255F2" w:rsidRPr="001255F2" w:rsidRDefault="001255F2" w:rsidP="001255F2">
      <w:pPr>
        <w:rPr>
          <w:lang w:val="en-CA"/>
        </w:rPr>
      </w:pPr>
      <w:r w:rsidRPr="001255F2">
        <w:rPr>
          <w:lang w:val="en-CA"/>
        </w:rPr>
        <w:t xml:space="preserve">Across all contexts, women-led OPDs report physical, communication, and attitudinal barriers. In </w:t>
      </w:r>
      <w:r w:rsidRPr="001255F2">
        <w:rPr>
          <w:b/>
          <w:bCs/>
          <w:lang w:val="en-CA"/>
        </w:rPr>
        <w:t>Benin</w:t>
      </w:r>
      <w:r w:rsidRPr="001255F2">
        <w:rPr>
          <w:lang w:val="en-CA"/>
        </w:rPr>
        <w:t xml:space="preserve">, laws are rarely in accessible formats, and reporting platforms are not disability-friendly. Even where CSOs such as WODAO (Ghana) or MHRWD (Malawi) offer legal literacy and psychosocial support, state systems remain under-resourced and slow. In </w:t>
      </w:r>
      <w:r w:rsidRPr="001255F2">
        <w:rPr>
          <w:b/>
          <w:bCs/>
          <w:lang w:val="en-CA"/>
        </w:rPr>
        <w:t>Senegal</w:t>
      </w:r>
      <w:r w:rsidRPr="001255F2">
        <w:rPr>
          <w:lang w:val="en-CA"/>
        </w:rPr>
        <w:t xml:space="preserve">, poor enforcement of disability laws and limited issuance of the </w:t>
      </w:r>
      <w:r w:rsidRPr="001255F2">
        <w:rPr>
          <w:i/>
          <w:iCs/>
          <w:lang w:val="en-CA"/>
        </w:rPr>
        <w:t>carte d’égalité des chances</w:t>
      </w:r>
      <w:r w:rsidRPr="001255F2">
        <w:rPr>
          <w:lang w:val="en-CA"/>
        </w:rPr>
        <w:t xml:space="preserve"> further restrict remedies.</w:t>
      </w:r>
    </w:p>
    <w:p w14:paraId="1A24D479" w14:textId="194C9704" w:rsidR="001255F2" w:rsidRPr="00E97D1D" w:rsidRDefault="00FE3ED7" w:rsidP="006222E0">
      <w:r w:rsidRPr="00FE3ED7">
        <w:t xml:space="preserve">To ensure effective redress, NHRIs should act as independent bodies empowered to investigate and sanction discrimination. Each should </w:t>
      </w:r>
      <w:r w:rsidRPr="00E97D1D">
        <w:t>include a Disability Rights Division trained on gender and intersectionality, and ensure Women’s Rights Divisions integrate disability inclusion.</w:t>
      </w:r>
    </w:p>
    <w:p w14:paraId="0F2B5E4B" w14:textId="77777777" w:rsidR="00C5060C" w:rsidRDefault="00C5060C">
      <w:pPr>
        <w:spacing w:before="0" w:after="160"/>
        <w:rPr>
          <w:b/>
          <w:bCs/>
          <w:lang w:val="en-CA"/>
        </w:rPr>
      </w:pPr>
      <w:r>
        <w:br w:type="page"/>
      </w:r>
    </w:p>
    <w:p w14:paraId="31F24FA9" w14:textId="3D9B702E" w:rsidR="006222E0" w:rsidRPr="00DD0EAA" w:rsidRDefault="006222E0" w:rsidP="006222E0">
      <w:pPr>
        <w:pStyle w:val="Titre3"/>
      </w:pPr>
      <w:r w:rsidRPr="00DD0EAA">
        <w:lastRenderedPageBreak/>
        <w:t>Recommendation</w:t>
      </w:r>
      <w:r>
        <w:t>s</w:t>
      </w:r>
    </w:p>
    <w:p w14:paraId="788CCF31" w14:textId="7134476A" w:rsidR="006222E0" w:rsidRPr="00A7292A" w:rsidRDefault="006222E0" w:rsidP="0099054E">
      <w:r w:rsidRPr="006222E0">
        <w:rPr>
          <w:b/>
          <w:bCs/>
        </w:rPr>
        <w:t>The CRPD Guidelines should:</w:t>
      </w:r>
    </w:p>
    <w:p w14:paraId="05481238" w14:textId="7FCA379D" w:rsidR="0099054E" w:rsidRPr="0099054E" w:rsidRDefault="0099054E" w:rsidP="0099054E">
      <w:pPr>
        <w:numPr>
          <w:ilvl w:val="0"/>
          <w:numId w:val="44"/>
        </w:numPr>
        <w:rPr>
          <w:lang w:val="en-CA"/>
        </w:rPr>
      </w:pPr>
      <w:r w:rsidRPr="0099054E">
        <w:rPr>
          <w:lang w:val="en-CA"/>
        </w:rPr>
        <w:t>Urge States to establish and adequately fund Article 33(2) mechanisms, ensuring alignment with the CRPD and Paris Principles, with clear mandates to protect the rights of women and girls with disabilities and address intersectional discrimination</w:t>
      </w:r>
      <w:r w:rsidR="00E97D1D">
        <w:rPr>
          <w:lang w:val="en-CA"/>
        </w:rPr>
        <w:t>,</w:t>
      </w:r>
    </w:p>
    <w:p w14:paraId="38EF9AED" w14:textId="0EE47765" w:rsidR="0099054E" w:rsidRPr="0099054E" w:rsidRDefault="0099054E" w:rsidP="0099054E">
      <w:pPr>
        <w:numPr>
          <w:ilvl w:val="0"/>
          <w:numId w:val="44"/>
        </w:numPr>
        <w:rPr>
          <w:lang w:val="en-CA"/>
        </w:rPr>
      </w:pPr>
      <w:r w:rsidRPr="0099054E">
        <w:rPr>
          <w:lang w:val="en-CA"/>
        </w:rPr>
        <w:t>Require all judicial, quasi-judicial, and administrative procedures to be physically, linguistically, and digitally accessible</w:t>
      </w:r>
      <w:r w:rsidR="00E97D1D">
        <w:rPr>
          <w:lang w:val="en-CA"/>
        </w:rPr>
        <w:t>,</w:t>
      </w:r>
    </w:p>
    <w:p w14:paraId="5B1752DC" w14:textId="4FEFA3F2" w:rsidR="0099054E" w:rsidRPr="0099054E" w:rsidRDefault="0099054E" w:rsidP="0099054E">
      <w:pPr>
        <w:numPr>
          <w:ilvl w:val="0"/>
          <w:numId w:val="44"/>
        </w:numPr>
        <w:rPr>
          <w:lang w:val="en-CA"/>
        </w:rPr>
      </w:pPr>
      <w:r w:rsidRPr="0099054E">
        <w:rPr>
          <w:lang w:val="en-CA"/>
        </w:rPr>
        <w:t>Encourage training for justice actors on the CRPD, African Disability Protocol</w:t>
      </w:r>
      <w:r w:rsidR="00E97D1D">
        <w:rPr>
          <w:lang w:val="en-CA"/>
        </w:rPr>
        <w:t>,</w:t>
      </w:r>
    </w:p>
    <w:p w14:paraId="28D296D1" w14:textId="07E598AB" w:rsidR="0099054E" w:rsidRPr="0099054E" w:rsidRDefault="0099054E" w:rsidP="0099054E">
      <w:pPr>
        <w:numPr>
          <w:ilvl w:val="0"/>
          <w:numId w:val="44"/>
        </w:numPr>
        <w:rPr>
          <w:lang w:val="en-CA"/>
        </w:rPr>
      </w:pPr>
      <w:r w:rsidRPr="0099054E">
        <w:rPr>
          <w:lang w:val="en-CA"/>
        </w:rPr>
        <w:t>Ensure access to free or affordable legal aid and promote</w:t>
      </w:r>
      <w:r w:rsidR="003518DE">
        <w:rPr>
          <w:lang w:val="en-CA"/>
        </w:rPr>
        <w:t xml:space="preserve"> </w:t>
      </w:r>
      <w:r w:rsidR="003518DE" w:rsidRPr="003518DE">
        <w:t>comprehensive reparations such as rehabilitation, reform, and symbolic redress</w:t>
      </w:r>
      <w:r w:rsidR="00E97D1D">
        <w:rPr>
          <w:lang w:val="en-CA"/>
        </w:rPr>
        <w:t>,</w:t>
      </w:r>
    </w:p>
    <w:p w14:paraId="31F0A20C" w14:textId="1D96F2B0" w:rsidR="0099054E" w:rsidRPr="0099054E" w:rsidRDefault="0099054E" w:rsidP="0099054E">
      <w:pPr>
        <w:numPr>
          <w:ilvl w:val="0"/>
          <w:numId w:val="44"/>
        </w:numPr>
        <w:rPr>
          <w:lang w:val="en-CA"/>
        </w:rPr>
      </w:pPr>
      <w:r w:rsidRPr="0099054E">
        <w:rPr>
          <w:lang w:val="en-CA"/>
        </w:rPr>
        <w:t>Promote engagement with regional bodies such as the African Commission on Human and Peoples’ Rights and the African Disability Forum to strengthen jurisprudence.</w:t>
      </w:r>
    </w:p>
    <w:p w14:paraId="77858331" w14:textId="77777777" w:rsidR="0099054E" w:rsidRPr="0099054E" w:rsidRDefault="0099054E" w:rsidP="0099054E">
      <w:pPr>
        <w:numPr>
          <w:ilvl w:val="0"/>
          <w:numId w:val="44"/>
        </w:numPr>
        <w:rPr>
          <w:lang w:val="en-CA"/>
        </w:rPr>
      </w:pPr>
      <w:r w:rsidRPr="0099054E">
        <w:rPr>
          <w:lang w:val="en-CA"/>
        </w:rPr>
        <w:t>Stress the meaningful participation of women with disabilities in consultations, reviews, and oversight of remedy and monitoring mechanisms.</w:t>
      </w:r>
    </w:p>
    <w:p w14:paraId="209253E4" w14:textId="5E2B37DF" w:rsidR="009D64C4" w:rsidRPr="001F2CFF" w:rsidRDefault="009D64C4" w:rsidP="001F2CFF"/>
    <w:sectPr w:rsidR="009D64C4" w:rsidRPr="001F2CFF" w:rsidSect="009D1A1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529A" w14:textId="77777777" w:rsidR="0046492C" w:rsidRPr="00FD49AD" w:rsidRDefault="0046492C" w:rsidP="00346BAE">
      <w:pPr>
        <w:spacing w:line="240" w:lineRule="auto"/>
      </w:pPr>
      <w:r w:rsidRPr="00FD49AD">
        <w:separator/>
      </w:r>
    </w:p>
  </w:endnote>
  <w:endnote w:type="continuationSeparator" w:id="0">
    <w:p w14:paraId="311DED22" w14:textId="77777777" w:rsidR="0046492C" w:rsidRPr="00FD49AD" w:rsidRDefault="0046492C" w:rsidP="00346BAE">
      <w:pPr>
        <w:spacing w:line="240" w:lineRule="auto"/>
      </w:pPr>
      <w:r w:rsidRPr="00FD4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67D6" w14:textId="522E900F" w:rsidR="00821576" w:rsidRPr="00875EB6" w:rsidRDefault="00821576">
    <w:pPr>
      <w:pStyle w:val="Pieddepage"/>
      <w:rPr>
        <w:sz w:val="20"/>
        <w:szCs w:val="20"/>
      </w:rPr>
    </w:pPr>
    <w:r w:rsidRPr="00875EB6">
      <w:rPr>
        <w:sz w:val="20"/>
        <w:szCs w:val="20"/>
      </w:rPr>
      <w:t>African Perspectives on Multiple and Intersectional Discrimination against women and girls with disabilities</w:t>
    </w:r>
    <w:r w:rsidR="00F25DF5" w:rsidRPr="00875EB6">
      <w:rPr>
        <w:sz w:val="20"/>
        <w:szCs w:val="20"/>
      </w:rPr>
      <w:t xml:space="preserve"> – DIWA and HI - 31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41CF" w14:textId="77777777" w:rsidR="0046492C" w:rsidRPr="00FD49AD" w:rsidRDefault="0046492C" w:rsidP="00346BAE">
      <w:pPr>
        <w:spacing w:line="240" w:lineRule="auto"/>
      </w:pPr>
      <w:r w:rsidRPr="00FD49AD">
        <w:separator/>
      </w:r>
    </w:p>
  </w:footnote>
  <w:footnote w:type="continuationSeparator" w:id="0">
    <w:p w14:paraId="4C38F7CD" w14:textId="77777777" w:rsidR="0046492C" w:rsidRPr="00FD49AD" w:rsidRDefault="0046492C" w:rsidP="00346BAE">
      <w:pPr>
        <w:spacing w:line="240" w:lineRule="auto"/>
      </w:pPr>
      <w:r w:rsidRPr="00FD49AD">
        <w:continuationSeparator/>
      </w:r>
    </w:p>
  </w:footnote>
  <w:footnote w:id="1">
    <w:p w14:paraId="169EF0F5" w14:textId="77777777" w:rsidR="005F5D1D" w:rsidRPr="0081373E" w:rsidRDefault="005F5D1D" w:rsidP="005F5D1D">
      <w:pPr>
        <w:pStyle w:val="Notedebasdepage"/>
        <w:rPr>
          <w:lang w:val="fr-FR"/>
        </w:rPr>
      </w:pPr>
      <w:r>
        <w:rPr>
          <w:rStyle w:val="Appelnotedebasdep"/>
        </w:rPr>
        <w:footnoteRef/>
      </w:r>
      <w:r>
        <w:t xml:space="preserve"> </w:t>
      </w:r>
      <w:r w:rsidRPr="000015F3">
        <w:t>Concluding observations on the initial report of Senegal</w:t>
      </w:r>
      <w:r>
        <w:t xml:space="preserve">, </w:t>
      </w:r>
      <w:r w:rsidRPr="00EA56C3">
        <w:t xml:space="preserve">CRPD/C/SEN/CO/1 </w:t>
      </w:r>
    </w:p>
  </w:footnote>
  <w:footnote w:id="2">
    <w:p w14:paraId="5076C626" w14:textId="77777777" w:rsidR="005D5C3C" w:rsidRPr="009A4B78" w:rsidRDefault="005D5C3C" w:rsidP="005D5C3C">
      <w:pPr>
        <w:pStyle w:val="Notedebasdepage"/>
        <w:rPr>
          <w:lang w:val="fr-FR"/>
        </w:rPr>
      </w:pPr>
      <w:r>
        <w:rPr>
          <w:rStyle w:val="Appelnotedebasdep"/>
        </w:rPr>
        <w:footnoteRef/>
      </w:r>
      <w:r>
        <w:t xml:space="preserve"> Benin, Burundi, Cameroon, Ghana, Kenya, Nigeria, Uganda</w:t>
      </w:r>
    </w:p>
  </w:footnote>
  <w:footnote w:id="3">
    <w:p w14:paraId="2717EF02" w14:textId="77777777" w:rsidR="005D5C3C" w:rsidRPr="00E6550B" w:rsidRDefault="005D5C3C" w:rsidP="005D5C3C">
      <w:pPr>
        <w:pStyle w:val="Notedebasdepage"/>
        <w:rPr>
          <w:sz w:val="16"/>
          <w:szCs w:val="16"/>
        </w:rPr>
      </w:pPr>
      <w:r w:rsidRPr="00E6550B">
        <w:rPr>
          <w:rStyle w:val="Appelnotedebasdep"/>
          <w:sz w:val="16"/>
          <w:szCs w:val="16"/>
        </w:rPr>
        <w:footnoteRef/>
      </w:r>
      <w:r w:rsidRPr="00E6550B">
        <w:rPr>
          <w:sz w:val="16"/>
          <w:szCs w:val="16"/>
        </w:rPr>
        <w:t xml:space="preserve"> </w:t>
      </w:r>
      <w:r w:rsidRPr="007052CD">
        <w:t>Humanity</w:t>
      </w:r>
      <w:r>
        <w:t xml:space="preserve"> </w:t>
      </w:r>
      <w:r w:rsidRPr="007052CD">
        <w:t>&amp;</w:t>
      </w:r>
      <w:r>
        <w:t xml:space="preserve"> </w:t>
      </w:r>
      <w:r w:rsidRPr="007052CD">
        <w:t>Inclusion</w:t>
      </w:r>
      <w:r>
        <w:t>,</w:t>
      </w:r>
      <w:r w:rsidRPr="007052CD">
        <w:rPr>
          <w:rFonts w:eastAsia="Aptos"/>
        </w:rPr>
        <w:t xml:space="preserve"> </w:t>
      </w:r>
      <w:hyperlink r:id="rId1" w:history="1">
        <w:r w:rsidRPr="009C5A01">
          <w:rPr>
            <w:rStyle w:val="Lienhypertexte"/>
          </w:rPr>
          <w:t>Still a long way to go: Inclusion of women with disabilities in African GBV policies - Making It Work Policy Review</w:t>
        </w:r>
      </w:hyperlink>
      <w:r>
        <w:t>, 2024</w:t>
      </w:r>
    </w:p>
  </w:footnote>
  <w:footnote w:id="4">
    <w:p w14:paraId="068CFF9C" w14:textId="77777777" w:rsidR="00563F34" w:rsidRPr="007052CD" w:rsidRDefault="00563F34" w:rsidP="00563F34">
      <w:pPr>
        <w:pStyle w:val="Notedebasdepage"/>
        <w:rPr>
          <w:lang w:val="fr-FR"/>
        </w:rPr>
      </w:pPr>
      <w:r>
        <w:rPr>
          <w:rStyle w:val="Appelnotedebasdep"/>
        </w:rPr>
        <w:footnoteRef/>
      </w:r>
      <w:r>
        <w:t xml:space="preserve"> </w:t>
      </w:r>
      <w:r w:rsidRPr="007052CD">
        <w:t>Protocol to the African Charter on Human and Peoples’ Rights on the Rights of Persons with Disabilities in Africa</w:t>
      </w:r>
      <w:r>
        <w:t>, adopted Feb. 2018</w:t>
      </w:r>
    </w:p>
  </w:footnote>
  <w:footnote w:id="5">
    <w:p w14:paraId="38E7E50D" w14:textId="223C85FA" w:rsidR="00563F34" w:rsidRPr="00563F34" w:rsidRDefault="00563F34">
      <w:pPr>
        <w:pStyle w:val="Notedebasdepage"/>
        <w:rPr>
          <w:lang w:val="fr-FR"/>
        </w:rPr>
      </w:pPr>
      <w:r>
        <w:rPr>
          <w:rStyle w:val="Appelnotedebasdep"/>
        </w:rPr>
        <w:footnoteRef/>
      </w:r>
      <w:r>
        <w:t xml:space="preserve"> </w:t>
      </w:r>
      <w:r>
        <w:rPr>
          <w:lang w:val="fr-FR"/>
        </w:rPr>
        <w:t xml:space="preserve">More details in </w:t>
      </w:r>
      <w:r>
        <w:t xml:space="preserve">DIWA, HI, </w:t>
      </w:r>
      <w:hyperlink r:id="rId2" w:history="1">
        <w:r w:rsidRPr="00A05639">
          <w:rPr>
            <w:rStyle w:val="Lienhypertexte"/>
          </w:rPr>
          <w:t>African good practices: Informing the CRPD guidelines on addressing multiple and intersectional forms of discrimination against women and girls with disabilities</w:t>
        </w:r>
      </w:hyperlink>
      <w:r>
        <w:t>, Oct 2025</w:t>
      </w:r>
    </w:p>
  </w:footnote>
  <w:footnote w:id="6">
    <w:p w14:paraId="35935C22" w14:textId="77777777" w:rsidR="00285BEA" w:rsidRPr="009A388C" w:rsidRDefault="00285BEA" w:rsidP="00285BEA">
      <w:pPr>
        <w:pStyle w:val="Notedebasdepage"/>
      </w:pPr>
      <w:r>
        <w:rPr>
          <w:rStyle w:val="Appelnotedebasdep"/>
        </w:rPr>
        <w:footnoteRef/>
      </w:r>
      <w:r>
        <w:t xml:space="preserve"> </w:t>
      </w:r>
      <w:hyperlink r:id="rId3" w:history="1">
        <w:r w:rsidRPr="0069455E">
          <w:rPr>
            <w:rStyle w:val="Lienhypertexte"/>
          </w:rPr>
          <w:t>Who is Disabled in Sub-Saharan Africa?</w:t>
        </w:r>
      </w:hyperlink>
      <w:r>
        <w:t>,  World Bank, April 2021</w:t>
      </w:r>
    </w:p>
  </w:footnote>
  <w:footnote w:id="7">
    <w:p w14:paraId="7525FC54" w14:textId="77777777" w:rsidR="00285BEA" w:rsidRPr="006D28F9" w:rsidRDefault="00285BEA" w:rsidP="00285BEA">
      <w:pPr>
        <w:pStyle w:val="Notedebasdepage"/>
        <w:rPr>
          <w:lang w:val="fr-FR"/>
        </w:rPr>
      </w:pPr>
      <w:r>
        <w:rPr>
          <w:rStyle w:val="Appelnotedebasdep"/>
        </w:rPr>
        <w:footnoteRef/>
      </w:r>
      <w:r>
        <w:t xml:space="preserve"> </w:t>
      </w:r>
      <w:hyperlink r:id="rId4" w:history="1">
        <w:r>
          <w:rPr>
            <w:rStyle w:val="Lienhypertexte"/>
          </w:rPr>
          <w:t>National BPfA Review Reports</w:t>
        </w:r>
      </w:hyperlink>
      <w:r>
        <w:t>, UNECA</w:t>
      </w:r>
    </w:p>
  </w:footnote>
  <w:footnote w:id="8">
    <w:p w14:paraId="749129DE" w14:textId="77777777" w:rsidR="008B2170" w:rsidRPr="00C13BEB" w:rsidRDefault="008B2170" w:rsidP="008B2170">
      <w:pPr>
        <w:pStyle w:val="Notedebasdepage"/>
        <w:rPr>
          <w:lang w:val="fr-FR"/>
        </w:rPr>
      </w:pPr>
      <w:r>
        <w:rPr>
          <w:rStyle w:val="Appelnotedebasdep"/>
        </w:rPr>
        <w:footnoteRef/>
      </w:r>
      <w:r>
        <w:t xml:space="preserve"> Benin national census, 2013: </w:t>
      </w:r>
      <w:hyperlink r:id="rId5" w:history="1">
        <w:r>
          <w:rPr>
            <w:rStyle w:val="Lienhypertexte"/>
          </w:rPr>
          <w:t>Report on the socio-demographic and economic indicators of the RGPH4 of 2013</w:t>
        </w:r>
      </w:hyperlink>
    </w:p>
  </w:footnote>
  <w:footnote w:id="9">
    <w:p w14:paraId="3D4F56AC" w14:textId="3E34D920" w:rsidR="008B2170" w:rsidRPr="00EE1196" w:rsidRDefault="008B2170" w:rsidP="008B2170">
      <w:pPr>
        <w:pStyle w:val="Notedebasdepage"/>
        <w:rPr>
          <w:lang w:val="fr-FR"/>
        </w:rPr>
      </w:pPr>
      <w:r>
        <w:rPr>
          <w:rStyle w:val="Appelnotedebasdep"/>
        </w:rPr>
        <w:footnoteRef/>
      </w:r>
      <w:r>
        <w:t xml:space="preserve"> More details in DIWA, HI, </w:t>
      </w:r>
      <w:hyperlink r:id="rId6" w:history="1">
        <w:r w:rsidRPr="00A05639">
          <w:rPr>
            <w:rStyle w:val="Lienhypertexte"/>
          </w:rPr>
          <w:t>African good practices: Informing the CRPD guidelines on addressing multiple and intersectional forms of discrimination against women and girls with disabilities</w:t>
        </w:r>
      </w:hyperlink>
      <w:r>
        <w:t>, Oct 2025</w:t>
      </w:r>
    </w:p>
  </w:footnote>
  <w:footnote w:id="10">
    <w:p w14:paraId="10F79EC7" w14:textId="255E12FD" w:rsidR="006421D9" w:rsidRPr="00837EA9" w:rsidRDefault="006421D9" w:rsidP="006421D9">
      <w:pPr>
        <w:pStyle w:val="Notedebasdepage"/>
        <w:rPr>
          <w:lang w:val="fr-FR"/>
        </w:rPr>
      </w:pPr>
      <w:r>
        <w:rPr>
          <w:rStyle w:val="Appelnotedebasdep"/>
        </w:rPr>
        <w:footnoteRef/>
      </w:r>
      <w:r>
        <w:t xml:space="preserve"> See reports within the </w:t>
      </w:r>
      <w:hyperlink r:id="rId7" w:history="1">
        <w:r w:rsidRPr="00CE00F3">
          <w:rPr>
            <w:rStyle w:val="Lienhypertexte"/>
          </w:rPr>
          <w:t>VOICES OF Collection</w:t>
        </w:r>
      </w:hyperlink>
      <w:r>
        <w:t xml:space="preserve">, </w:t>
      </w:r>
      <w:r w:rsidR="008F631B">
        <w:t>HI-</w:t>
      </w:r>
      <w:r>
        <w:t>Making It Work</w:t>
      </w:r>
    </w:p>
  </w:footnote>
  <w:footnote w:id="11">
    <w:p w14:paraId="6F3A35D7" w14:textId="26702ECD" w:rsidR="009264E5" w:rsidRPr="009264E5" w:rsidRDefault="009264E5">
      <w:pPr>
        <w:pStyle w:val="Notedebasdepage"/>
        <w:rPr>
          <w:lang w:val="fr-FR"/>
        </w:rPr>
      </w:pPr>
      <w:r>
        <w:rPr>
          <w:rStyle w:val="Appelnotedebasdep"/>
        </w:rPr>
        <w:footnoteRef/>
      </w:r>
      <w:r>
        <w:t xml:space="preserve"> </w:t>
      </w:r>
      <w:r w:rsidRPr="009264E5">
        <w:t>A/HRC/RES/47/15</w:t>
      </w:r>
    </w:p>
  </w:footnote>
  <w:footnote w:id="12">
    <w:p w14:paraId="11AFBA8F" w14:textId="77777777" w:rsidR="00497011" w:rsidRPr="00C431F3" w:rsidRDefault="00497011" w:rsidP="00497011">
      <w:pPr>
        <w:pStyle w:val="Notedebasdepage"/>
        <w:rPr>
          <w:lang w:val="fr-FR"/>
        </w:rPr>
      </w:pPr>
      <w:r>
        <w:rPr>
          <w:rStyle w:val="Appelnotedebasdep"/>
        </w:rPr>
        <w:footnoteRef/>
      </w:r>
      <w:r>
        <w:t xml:space="preserve"> World Health Organisation, ‘</w:t>
      </w:r>
      <w:hyperlink r:id="rId8" w:history="1">
        <w:r w:rsidRPr="00C431F3">
          <w:rPr>
            <w:rStyle w:val="Lienhypertexte"/>
          </w:rPr>
          <w:t>WHO calls for greater attention to violence against women with disabilities and older women</w:t>
        </w:r>
      </w:hyperlink>
      <w:r>
        <w:t xml:space="preserve">’, March 2024.  </w:t>
      </w:r>
    </w:p>
  </w:footnote>
  <w:footnote w:id="13">
    <w:p w14:paraId="26D8ECAC" w14:textId="77777777" w:rsidR="00497011" w:rsidRPr="00465E21" w:rsidRDefault="00497011" w:rsidP="00497011">
      <w:pPr>
        <w:pStyle w:val="Notedebasdepage"/>
        <w:rPr>
          <w:lang w:val="fr-FR"/>
        </w:rPr>
      </w:pPr>
      <w:r>
        <w:rPr>
          <w:rStyle w:val="Appelnotedebasdep"/>
        </w:rPr>
        <w:footnoteRef/>
      </w:r>
      <w:r>
        <w:t xml:space="preserve"> ABPDFH (Burundian Association for the Promotion of the Rights of Women with Disabilities) – Urumuri, </w:t>
      </w:r>
      <w:hyperlink r:id="rId9" w:history="1">
        <w:r w:rsidRPr="00465E21">
          <w:rPr>
            <w:rStyle w:val="Lienhypertexte"/>
          </w:rPr>
          <w:t>Voices of women with disabilities in Burundi: Shared realities</w:t>
        </w:r>
      </w:hyperlink>
      <w:r>
        <w:t>, June 2024</w:t>
      </w:r>
    </w:p>
  </w:footnote>
  <w:footnote w:id="14">
    <w:p w14:paraId="7BEB5350" w14:textId="77777777" w:rsidR="00497011" w:rsidRPr="002172AE" w:rsidRDefault="00497011" w:rsidP="00497011">
      <w:pPr>
        <w:pStyle w:val="Notedebasdepage"/>
        <w:rPr>
          <w:lang w:val="fr-FR"/>
        </w:rPr>
      </w:pPr>
      <w:r>
        <w:rPr>
          <w:rStyle w:val="Appelnotedebasdep"/>
        </w:rPr>
        <w:footnoteRef/>
      </w:r>
      <w:r>
        <w:t xml:space="preserve"> United Nations, </w:t>
      </w:r>
      <w:r w:rsidRPr="00BD1993">
        <w:t>Department of Economic and Social Affairs</w:t>
      </w:r>
      <w:r>
        <w:t xml:space="preserve">, </w:t>
      </w:r>
      <w:hyperlink r:id="rId10" w:history="1">
        <w:r w:rsidRPr="00BD1993">
          <w:rPr>
            <w:rStyle w:val="Lienhypertexte"/>
          </w:rPr>
          <w:t>Disability and Development Report 2024</w:t>
        </w:r>
      </w:hyperlink>
    </w:p>
  </w:footnote>
  <w:footnote w:id="15">
    <w:p w14:paraId="12DF903D" w14:textId="3E1BCB06" w:rsidR="006B6816" w:rsidRPr="00D32191" w:rsidRDefault="006B6816" w:rsidP="006B6816">
      <w:pPr>
        <w:pStyle w:val="Notedebasdepage"/>
        <w:rPr>
          <w:lang w:val="en-US"/>
        </w:rPr>
      </w:pPr>
      <w:r>
        <w:rPr>
          <w:rStyle w:val="Appelnotedebasdep"/>
        </w:rPr>
        <w:footnoteRef/>
      </w:r>
      <w:r>
        <w:t xml:space="preserve"> HI, MUDIWA, UPHB, UDPK and ODI Sahel</w:t>
      </w:r>
      <w:hyperlink r:id="rId11" w:history="1">
        <w:r w:rsidRPr="00375906">
          <w:rPr>
            <w:rStyle w:val="Lienhypertexte"/>
          </w:rPr>
          <w:t xml:space="preserve">, </w:t>
        </w:r>
        <w:r w:rsidRPr="00375906">
          <w:rPr>
            <w:rStyle w:val="Lienhypertexte"/>
            <w:lang w:val="en-US"/>
          </w:rPr>
          <w:t>Submission to the  Special Rapporteur on Violence against Women on Mistreatment and violence against women during reproductive health care with a focus on childbirth</w:t>
        </w:r>
      </w:hyperlink>
      <w:r>
        <w:rPr>
          <w:lang w:val="en-US"/>
        </w:rPr>
        <w:t>, May 2019</w:t>
      </w:r>
    </w:p>
  </w:footnote>
  <w:footnote w:id="16">
    <w:p w14:paraId="439DC31E" w14:textId="5B530AD2" w:rsidR="00D07CF5" w:rsidRPr="00E05423" w:rsidRDefault="00D07CF5" w:rsidP="00D07CF5">
      <w:pPr>
        <w:pStyle w:val="Notedebasdepage"/>
        <w:rPr>
          <w:lang w:val="fr-FR"/>
        </w:rPr>
      </w:pPr>
      <w:r>
        <w:rPr>
          <w:rStyle w:val="Appelnotedebasdep"/>
        </w:rPr>
        <w:footnoteRef/>
      </w:r>
      <w:r>
        <w:t xml:space="preserve"> </w:t>
      </w:r>
      <w:hyperlink r:id="rId12" w:history="1">
        <w:r w:rsidRPr="00C7044F">
          <w:rPr>
            <w:rStyle w:val="Lienhypertexte"/>
          </w:rPr>
          <w:t>Powerful yet overlooked: African women with disabilities and the ongoing struggle for inclusion, 30 years after Beijing</w:t>
        </w:r>
      </w:hyperlink>
      <w:r>
        <w:t>. Lyon: Humanity &amp; Inclusion, October 2024</w:t>
      </w:r>
    </w:p>
  </w:footnote>
  <w:footnote w:id="17">
    <w:p w14:paraId="46E67DC8" w14:textId="77777777" w:rsidR="00D07CF5" w:rsidRPr="008D7788" w:rsidRDefault="00D07CF5" w:rsidP="00D07CF5">
      <w:pPr>
        <w:pStyle w:val="Notedebasdepage"/>
        <w:rPr>
          <w:lang w:val="fr-FR"/>
        </w:rPr>
      </w:pPr>
      <w:r>
        <w:rPr>
          <w:rStyle w:val="Appelnotedebasdep"/>
        </w:rPr>
        <w:footnoteRef/>
      </w:r>
      <w:r>
        <w:t xml:space="preserve"> HI and partners </w:t>
      </w:r>
      <w:r w:rsidRPr="008D7788">
        <w:rPr>
          <w:i/>
          <w:iCs/>
          <w:lang w:val="fr-FR"/>
        </w:rPr>
        <w:t>Voices of</w:t>
      </w:r>
      <w:r>
        <w:rPr>
          <w:i/>
          <w:iCs/>
          <w:lang w:val="fr-FR"/>
        </w:rPr>
        <w:t>…</w:t>
      </w:r>
      <w:r>
        <w:rPr>
          <w:lang w:val="fr-FR"/>
        </w:rPr>
        <w:t xml:space="preserve"> collection, HI with ABPDFH, MUDIWA and LIDDWA, see </w:t>
      </w:r>
      <w:r>
        <w:rPr>
          <w:lang w:val="fr-FR"/>
        </w:rPr>
        <w:fldChar w:fldCharType="begin"/>
      </w:r>
      <w:r>
        <w:rPr>
          <w:lang w:val="fr-FR"/>
        </w:rPr>
        <w:instrText xml:space="preserve"> NOTEREF _Ref212629633 \h </w:instrText>
      </w:r>
      <w:r>
        <w:rPr>
          <w:lang w:val="fr-FR"/>
        </w:rPr>
      </w:r>
      <w:r>
        <w:rPr>
          <w:lang w:val="fr-FR"/>
        </w:rPr>
        <w:fldChar w:fldCharType="separate"/>
      </w:r>
      <w:r>
        <w:rPr>
          <w:lang w:val="fr-FR"/>
        </w:rPr>
        <w:t>12</w:t>
      </w:r>
      <w:r>
        <w:rPr>
          <w:lang w:val="fr-FR"/>
        </w:rPr>
        <w:fldChar w:fldCharType="end"/>
      </w:r>
    </w:p>
  </w:footnote>
  <w:footnote w:id="18">
    <w:p w14:paraId="2316451B" w14:textId="38A53F65" w:rsidR="00176847" w:rsidRPr="00176847" w:rsidRDefault="00176847" w:rsidP="00176847">
      <w:pPr>
        <w:pStyle w:val="Notedebasdepage"/>
        <w:rPr>
          <w:lang w:val="fr-FR"/>
        </w:rPr>
      </w:pPr>
      <w:r>
        <w:rPr>
          <w:rStyle w:val="Appelnotedebasdep"/>
        </w:rPr>
        <w:footnoteRef/>
      </w:r>
      <w:r>
        <w:t xml:space="preserve"> </w:t>
      </w:r>
      <w:hyperlink r:id="rId13" w:history="1">
        <w:r w:rsidRPr="00065980">
          <w:rPr>
            <w:rStyle w:val="Lienhypertexte"/>
          </w:rPr>
          <w:t>Echoes of hope for women with psychosocial disabilities in Kassanda</w:t>
        </w:r>
      </w:hyperlink>
      <w:r w:rsidRPr="00176847">
        <w:t>,</w:t>
      </w:r>
      <w:r>
        <w:t xml:space="preserve"> </w:t>
      </w:r>
      <w:r w:rsidRPr="00176847">
        <w:t>Uganda</w:t>
      </w:r>
      <w:r>
        <w:t xml:space="preserve"> </w:t>
      </w:r>
      <w:r w:rsidRPr="00176847">
        <w:t>Mubende Women with Disabilities Association</w:t>
      </w:r>
      <w:r>
        <w:t xml:space="preserve"> </w:t>
      </w:r>
      <w:r w:rsidRPr="00176847">
        <w:t>(MUDIWA)</w:t>
      </w:r>
      <w:r>
        <w:t>, May 2025</w:t>
      </w:r>
    </w:p>
  </w:footnote>
  <w:footnote w:id="19">
    <w:p w14:paraId="573CBC27" w14:textId="599CDC09" w:rsidR="00CE6886" w:rsidRPr="00D32191" w:rsidRDefault="00CE6886" w:rsidP="00CE6886">
      <w:pPr>
        <w:pStyle w:val="Notedebasdepage"/>
        <w:rPr>
          <w:lang w:val="fr-FR"/>
        </w:rPr>
      </w:pPr>
      <w:r>
        <w:rPr>
          <w:rStyle w:val="Appelnotedebasdep"/>
        </w:rPr>
        <w:footnoteRef/>
      </w:r>
      <w:r>
        <w:t xml:space="preserve"> </w:t>
      </w:r>
      <w:hyperlink r:id="rId14" w:history="1">
        <w:r w:rsidRPr="00B15B2D">
          <w:rPr>
            <w:rStyle w:val="Lienhypertexte"/>
          </w:rPr>
          <w:t>Voices of Women with Psychosocial Disabilities in Lira, Uganda</w:t>
        </w:r>
      </w:hyperlink>
      <w:r w:rsidR="00F72DBA">
        <w:t xml:space="preserve">, Lira District Disabled Women’s Association </w:t>
      </w:r>
      <w:r w:rsidR="00480EDF">
        <w:t>(LIDDWA)</w:t>
      </w:r>
      <w:r w:rsidRPr="00D32191">
        <w:t>, May 2024</w:t>
      </w:r>
    </w:p>
  </w:footnote>
  <w:footnote w:id="20">
    <w:p w14:paraId="12375A6E" w14:textId="68A6DA19" w:rsidR="002E03C9" w:rsidRPr="002E03C9" w:rsidRDefault="002E03C9">
      <w:pPr>
        <w:pStyle w:val="Notedebasdepage"/>
        <w:rPr>
          <w:lang w:val="fr-FR"/>
        </w:rPr>
      </w:pPr>
      <w:r>
        <w:rPr>
          <w:rStyle w:val="Appelnotedebasdep"/>
        </w:rPr>
        <w:footnoteRef/>
      </w:r>
      <w:r w:rsidR="00600115">
        <w:t xml:space="preserve"> </w:t>
      </w:r>
      <w:hyperlink r:id="rId15" w:history="1">
        <w:r w:rsidRPr="00465E21">
          <w:rPr>
            <w:rStyle w:val="Lienhypertexte"/>
          </w:rPr>
          <w:t>Voices of women with disabilities in Burundi: Shared realities</w:t>
        </w:r>
      </w:hyperlink>
      <w:r>
        <w:t xml:space="preserve">, </w:t>
      </w:r>
      <w:r w:rsidR="00600115">
        <w:t xml:space="preserve">ABPDFH, </w:t>
      </w:r>
      <w:r>
        <w:t>June 2024</w:t>
      </w:r>
    </w:p>
  </w:footnote>
  <w:footnote w:id="21">
    <w:p w14:paraId="43619A73" w14:textId="29698F40" w:rsidR="0091722F" w:rsidRPr="00067424" w:rsidRDefault="0091722F" w:rsidP="0091722F">
      <w:pPr>
        <w:pStyle w:val="Notedebasdepage"/>
        <w:rPr>
          <w:lang w:val="fr-FR"/>
        </w:rPr>
      </w:pPr>
      <w:r>
        <w:rPr>
          <w:rStyle w:val="Appelnotedebasdep"/>
        </w:rPr>
        <w:footnoteRef/>
      </w:r>
      <w:r>
        <w:t xml:space="preserve"> </w:t>
      </w:r>
      <w:r w:rsidRPr="00A22BBC">
        <w:rPr>
          <w:lang w:val="fr-FR"/>
        </w:rPr>
        <w:t xml:space="preserve">K. R. Gueye, S. Pecourt, </w:t>
      </w:r>
      <w:hyperlink r:id="rId16" w:history="1">
        <w:r w:rsidRPr="00A22BBC">
          <w:rPr>
            <w:rStyle w:val="Lienhypertexte"/>
            <w:lang w:val="fr-FR"/>
          </w:rPr>
          <w:t>« Des femmes oubliées, des violences tues</w:t>
        </w:r>
      </w:hyperlink>
      <w:r w:rsidRPr="00A22BBC">
        <w:rPr>
          <w:lang w:val="fr-FR"/>
        </w:rPr>
        <w:t xml:space="preserve">», PFPC </w:t>
      </w:r>
      <w:r w:rsidR="00BF6C0F">
        <w:rPr>
          <w:lang w:val="fr-FR"/>
        </w:rPr>
        <w:t xml:space="preserve">and </w:t>
      </w:r>
      <w:r w:rsidRPr="00A22BBC">
        <w:rPr>
          <w:lang w:val="fr-FR"/>
        </w:rPr>
        <w:t xml:space="preserve">HI, </w:t>
      </w:r>
      <w:r w:rsidR="00BF6C0F">
        <w:rPr>
          <w:lang w:val="fr-FR"/>
        </w:rPr>
        <w:t>August</w:t>
      </w:r>
      <w:r w:rsidRPr="00A22BBC">
        <w:rPr>
          <w:lang w:val="fr-FR"/>
        </w:rPr>
        <w:t xml:space="preserve"> 2025</w:t>
      </w:r>
    </w:p>
  </w:footnote>
  <w:footnote w:id="22">
    <w:p w14:paraId="4AE82ED9" w14:textId="77777777" w:rsidR="00C44F5B" w:rsidRPr="00085697" w:rsidRDefault="00C44F5B" w:rsidP="00C44F5B">
      <w:pPr>
        <w:pStyle w:val="Notedebasdepage"/>
        <w:rPr>
          <w:lang w:val="fr-FR"/>
        </w:rPr>
      </w:pPr>
      <w:r>
        <w:rPr>
          <w:rStyle w:val="Appelnotedebasdep"/>
        </w:rPr>
        <w:footnoteRef/>
      </w:r>
      <w:r>
        <w:t xml:space="preserve"> </w:t>
      </w:r>
      <w:hyperlink r:id="rId17" w:history="1">
        <w:r w:rsidRPr="00825238">
          <w:rPr>
            <w:rStyle w:val="Lienhypertexte"/>
            <w:lang w:val="en-CA"/>
          </w:rPr>
          <w:t>Multi country analytical study on access to justice for victims and survivors of violence against women and girls in East and Southern Africa</w:t>
        </w:r>
      </w:hyperlink>
      <w:r w:rsidRPr="00085697">
        <w:rPr>
          <w:lang w:val="en-CA"/>
        </w:rPr>
        <w:t>, UN Women, 2021</w:t>
      </w:r>
    </w:p>
  </w:footnote>
  <w:footnote w:id="23">
    <w:p w14:paraId="3A08A144" w14:textId="77777777" w:rsidR="008F631B" w:rsidRPr="008B627C" w:rsidRDefault="008F631B" w:rsidP="008F631B">
      <w:pPr>
        <w:pStyle w:val="Notedebasdepage"/>
        <w:rPr>
          <w:lang w:val="fr-FR"/>
        </w:rPr>
      </w:pPr>
      <w:r>
        <w:rPr>
          <w:rStyle w:val="Appelnotedebasdep"/>
        </w:rPr>
        <w:footnoteRef/>
      </w:r>
      <w:r>
        <w:rPr>
          <w:lang w:val="en-CA"/>
        </w:rPr>
        <w:t xml:space="preserve"> </w:t>
      </w:r>
      <w:r w:rsidRPr="008B627C">
        <w:rPr>
          <w:lang w:val="en-CA"/>
        </w:rPr>
        <w:t>Concluding Observations: Benin, 202</w:t>
      </w:r>
      <w:r w:rsidRPr="00930E1A">
        <w:rPr>
          <w:lang w:val="en-CA"/>
        </w:rPr>
        <w:t>4</w:t>
      </w:r>
      <w:r w:rsidRPr="008B627C">
        <w:rPr>
          <w:lang w:val="en-CA"/>
        </w:rPr>
        <w:t xml:space="preserve">, </w:t>
      </w:r>
      <w:r w:rsidRPr="00930E1A">
        <w:rPr>
          <w:lang w:val="en-CA"/>
        </w:rPr>
        <w:t>CEDAW/C/BEN/CO/5</w:t>
      </w:r>
    </w:p>
  </w:footnote>
  <w:footnote w:id="24">
    <w:p w14:paraId="054E7AE4" w14:textId="77777777" w:rsidR="00385284" w:rsidRPr="007B7A05" w:rsidRDefault="00385284" w:rsidP="00385284">
      <w:pPr>
        <w:pStyle w:val="Notedebasdepage"/>
        <w:rPr>
          <w:lang w:val="fr-FR"/>
        </w:rPr>
      </w:pPr>
      <w:r>
        <w:rPr>
          <w:rStyle w:val="Appelnotedebasdep"/>
        </w:rPr>
        <w:footnoteRef/>
      </w:r>
      <w:r>
        <w:t xml:space="preserve">  Global Alliance of National Human Rights Institutions, </w:t>
      </w:r>
      <w:hyperlink r:id="rId18" w:history="1">
        <w:r w:rsidRPr="00D12B72">
          <w:rPr>
            <w:rStyle w:val="Lienhypertexte"/>
          </w:rPr>
          <w:t>Accreditation status as of 26 May 2017</w:t>
        </w:r>
      </w:hyperlink>
    </w:p>
  </w:footnote>
  <w:footnote w:id="25">
    <w:p w14:paraId="678C2807" w14:textId="0B379DC9" w:rsidR="00385284" w:rsidRPr="00884022" w:rsidRDefault="00385284" w:rsidP="00385284">
      <w:pPr>
        <w:pStyle w:val="Notedebasdepage"/>
        <w:rPr>
          <w:lang w:val="fr-FR"/>
        </w:rPr>
      </w:pPr>
      <w:r>
        <w:rPr>
          <w:rStyle w:val="Appelnotedebasdep"/>
        </w:rPr>
        <w:footnoteRef/>
      </w:r>
      <w:r>
        <w:t xml:space="preserve">  GANHRI </w:t>
      </w:r>
      <w:hyperlink r:id="rId19" w:history="1">
        <w:r w:rsidRPr="00B032A4">
          <w:rPr>
            <w:rStyle w:val="Lienhypertexte"/>
          </w:rPr>
          <w:t>2019 Survey Report</w:t>
        </w:r>
      </w:hyperlink>
    </w:p>
  </w:footnote>
  <w:footnote w:id="26">
    <w:p w14:paraId="43034E99" w14:textId="77777777" w:rsidR="00500FE8" w:rsidRPr="00A75170" w:rsidRDefault="00500FE8" w:rsidP="00500FE8">
      <w:r>
        <w:rPr>
          <w:rStyle w:val="Appelnotedebasdep"/>
        </w:rPr>
        <w:footnoteRef/>
      </w:r>
      <w:r>
        <w:t xml:space="preserve"> </w:t>
      </w:r>
      <w:r w:rsidRPr="008B51D1">
        <w:rPr>
          <w:sz w:val="20"/>
          <w:szCs w:val="20"/>
        </w:rPr>
        <w:t>South African Human Rights Commissio</w:t>
      </w:r>
      <w:r>
        <w:rPr>
          <w:sz w:val="20"/>
          <w:szCs w:val="20"/>
        </w:rPr>
        <w:t xml:space="preserve">n (SAHRC), </w:t>
      </w:r>
      <w:hyperlink r:id="rId20" w:history="1">
        <w:r w:rsidRPr="00EA34E7">
          <w:rPr>
            <w:rStyle w:val="Lienhypertexte"/>
            <w:sz w:val="20"/>
            <w:szCs w:val="20"/>
            <w:lang w:val="fr-FR"/>
          </w:rPr>
          <w:t>Research Brief on Disability and Equality in South Africa 2013-2017</w:t>
        </w:r>
      </w:hyperlink>
    </w:p>
  </w:footnote>
  <w:footnote w:id="27">
    <w:p w14:paraId="71042674" w14:textId="25D6C993" w:rsidR="005C6B7E" w:rsidRPr="00F03458" w:rsidRDefault="005C6B7E" w:rsidP="005C6B7E">
      <w:pPr>
        <w:pStyle w:val="Notedebasdepage"/>
        <w:rPr>
          <w:lang w:val="fr-FR"/>
        </w:rPr>
      </w:pPr>
      <w:r>
        <w:rPr>
          <w:rStyle w:val="Appelnotedebasdep"/>
        </w:rPr>
        <w:footnoteRef/>
      </w:r>
      <w:r>
        <w:t xml:space="preserve"> </w:t>
      </w:r>
      <w:r w:rsidR="000905A7">
        <w:rPr>
          <w:lang w:val="fr-FR"/>
        </w:rPr>
        <w:t>CNIDH Burundi</w:t>
      </w:r>
      <w:hyperlink r:id="rId21" w:history="1">
        <w:r w:rsidRPr="00F03458">
          <w:rPr>
            <w:rStyle w:val="Lienhypertexte"/>
            <w:lang w:val="fr-FR"/>
          </w:rPr>
          <w:t>, Rapport annuel d’activités : Exercice 2024</w:t>
        </w:r>
      </w:hyperlink>
      <w:r w:rsidRPr="00F03458">
        <w:rPr>
          <w:lang w:val="fr-FR"/>
        </w:rPr>
        <w:t xml:space="preserve"> </w:t>
      </w:r>
    </w:p>
  </w:footnote>
  <w:footnote w:id="28">
    <w:p w14:paraId="7793E314" w14:textId="77777777" w:rsidR="00500FE8" w:rsidRPr="0095422D" w:rsidRDefault="00500FE8" w:rsidP="00500FE8">
      <w:pPr>
        <w:pStyle w:val="Notedebasdepage"/>
        <w:rPr>
          <w:lang w:val="fr-FR"/>
        </w:rPr>
      </w:pPr>
      <w:r>
        <w:rPr>
          <w:rStyle w:val="Appelnotedebasdep"/>
        </w:rPr>
        <w:footnoteRef/>
      </w:r>
      <w:r>
        <w:t xml:space="preserve"> Cameroun Human Rights Commission CHRC, </w:t>
      </w:r>
      <w:hyperlink r:id="rId22" w:history="1">
        <w:r w:rsidRPr="00D36CDB">
          <w:rPr>
            <w:rStyle w:val="Lienhypertexte"/>
          </w:rPr>
          <w:t>Rapport d’activités 2022</w:t>
        </w:r>
      </w:hyperlink>
    </w:p>
  </w:footnote>
  <w:footnote w:id="29">
    <w:p w14:paraId="77218011" w14:textId="77777777" w:rsidR="0014459F" w:rsidRPr="00D84EB7" w:rsidRDefault="0014459F" w:rsidP="0014459F">
      <w:pPr>
        <w:pStyle w:val="Notedebasdepage"/>
        <w:rPr>
          <w:lang w:val="fr-FR"/>
        </w:rPr>
      </w:pPr>
      <w:r>
        <w:rPr>
          <w:rStyle w:val="Appelnotedebasdep"/>
        </w:rPr>
        <w:footnoteRef/>
      </w:r>
      <w:r>
        <w:t xml:space="preserve"> </w:t>
      </w:r>
      <w:r w:rsidRPr="00D84EB7">
        <w:t>UNPRPD</w:t>
      </w:r>
      <w:r>
        <w:t xml:space="preserve">, </w:t>
      </w:r>
      <w:hyperlink r:id="rId23" w:history="1">
        <w:r w:rsidRPr="00CA569B">
          <w:rPr>
            <w:rStyle w:val="Lienhypertexte"/>
          </w:rPr>
          <w:t>Situational Analysis of the Rights of Persons with Disabilities, Cameroon</w:t>
        </w:r>
      </w:hyperlink>
      <w:r>
        <w:t xml:space="preserve">, </w:t>
      </w:r>
      <w:r w:rsidRPr="00D84EB7">
        <w:t>2023</w:t>
      </w:r>
    </w:p>
  </w:footnote>
  <w:footnote w:id="30">
    <w:p w14:paraId="4A266510" w14:textId="77777777" w:rsidR="0014459F" w:rsidRPr="00810736" w:rsidRDefault="0014459F" w:rsidP="0014459F">
      <w:pPr>
        <w:pStyle w:val="Notedebasdepage"/>
        <w:rPr>
          <w:lang w:val="fr-FR"/>
        </w:rPr>
      </w:pPr>
      <w:r>
        <w:rPr>
          <w:rStyle w:val="Appelnotedebasdep"/>
        </w:rPr>
        <w:footnoteRef/>
      </w:r>
      <w:r>
        <w:t xml:space="preserve"> CBC-Health Services, “</w:t>
      </w:r>
      <w:hyperlink r:id="rId24" w:history="1">
        <w:r w:rsidRPr="00C07B7D">
          <w:rPr>
            <w:rStyle w:val="Lienhypertexte"/>
          </w:rPr>
          <w:t>The role of decentralized local authorities in the accelerated implementation of the Beijing Platform for Action</w:t>
        </w:r>
      </w:hyperlink>
      <w:r>
        <w:t>,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07239"/>
      <w:docPartObj>
        <w:docPartGallery w:val="Page Numbers (Top of Page)"/>
        <w:docPartUnique/>
      </w:docPartObj>
    </w:sdtPr>
    <w:sdtEndPr/>
    <w:sdtContent>
      <w:p w14:paraId="62082846" w14:textId="7FA51507" w:rsidR="00346BAE" w:rsidRPr="00FD49AD" w:rsidRDefault="00346BAE" w:rsidP="00346BAE">
        <w:pPr>
          <w:pStyle w:val="En-tte"/>
          <w:jc w:val="right"/>
        </w:pPr>
        <w:r w:rsidRPr="00FD49AD">
          <w:fldChar w:fldCharType="begin"/>
        </w:r>
        <w:r w:rsidRPr="00FD49AD">
          <w:instrText>PAGE   \* MERGEFORMAT</w:instrText>
        </w:r>
        <w:r w:rsidRPr="00FD49AD">
          <w:fldChar w:fldCharType="separate"/>
        </w:r>
        <w:r w:rsidRPr="00FD49AD">
          <w:t>2</w:t>
        </w:r>
        <w:r w:rsidRPr="00FD49AD">
          <w:fldChar w:fldCharType="end"/>
        </w:r>
      </w:p>
    </w:sdtContent>
  </w:sdt>
  <w:p w14:paraId="1DD865C3" w14:textId="77777777" w:rsidR="00346BAE" w:rsidRPr="00FD49AD" w:rsidRDefault="00346B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0C7"/>
    <w:multiLevelType w:val="hybridMultilevel"/>
    <w:tmpl w:val="D3B8C05A"/>
    <w:lvl w:ilvl="0" w:tplc="0409001B">
      <w:start w:val="1"/>
      <w:numFmt w:val="lowerRoman"/>
      <w:lvlText w:val="%1."/>
      <w:lvlJc w:val="right"/>
      <w:pPr>
        <w:ind w:left="9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3447B83"/>
    <w:multiLevelType w:val="hybridMultilevel"/>
    <w:tmpl w:val="5D62D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AA0A57"/>
    <w:multiLevelType w:val="hybridMultilevel"/>
    <w:tmpl w:val="06EAA8B8"/>
    <w:lvl w:ilvl="0" w:tplc="79DEAB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65552"/>
    <w:multiLevelType w:val="hybridMultilevel"/>
    <w:tmpl w:val="003E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D6064"/>
    <w:multiLevelType w:val="hybridMultilevel"/>
    <w:tmpl w:val="649C31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C48211A"/>
    <w:multiLevelType w:val="hybridMultilevel"/>
    <w:tmpl w:val="4C64FB0E"/>
    <w:lvl w:ilvl="0" w:tplc="EE7833D6">
      <w:numFmt w:val="bullet"/>
      <w:lvlText w:val="-"/>
      <w:lvlJc w:val="left"/>
      <w:pPr>
        <w:ind w:left="140" w:hanging="120"/>
      </w:pPr>
      <w:rPr>
        <w:rFonts w:ascii="Calibri" w:eastAsia="Calibri" w:hAnsi="Calibri" w:cs="Calibri" w:hint="default"/>
        <w:b/>
        <w:bCs/>
        <w:i w:val="0"/>
        <w:iCs w:val="0"/>
        <w:spacing w:val="0"/>
        <w:w w:val="111"/>
        <w:sz w:val="22"/>
        <w:szCs w:val="22"/>
        <w:lang w:val="en-US" w:eastAsia="en-US" w:bidi="ar-SA"/>
      </w:rPr>
    </w:lvl>
    <w:lvl w:ilvl="1" w:tplc="DEA29DFE">
      <w:numFmt w:val="bullet"/>
      <w:lvlText w:val="•"/>
      <w:lvlJc w:val="left"/>
      <w:pPr>
        <w:ind w:left="1061" w:hanging="120"/>
      </w:pPr>
      <w:rPr>
        <w:lang w:val="en-US" w:eastAsia="en-US" w:bidi="ar-SA"/>
      </w:rPr>
    </w:lvl>
    <w:lvl w:ilvl="2" w:tplc="B79673F4">
      <w:numFmt w:val="bullet"/>
      <w:lvlText w:val="•"/>
      <w:lvlJc w:val="left"/>
      <w:pPr>
        <w:ind w:left="1983" w:hanging="120"/>
      </w:pPr>
      <w:rPr>
        <w:lang w:val="en-US" w:eastAsia="en-US" w:bidi="ar-SA"/>
      </w:rPr>
    </w:lvl>
    <w:lvl w:ilvl="3" w:tplc="FBB6FF3E">
      <w:numFmt w:val="bullet"/>
      <w:lvlText w:val="•"/>
      <w:lvlJc w:val="left"/>
      <w:pPr>
        <w:ind w:left="2904" w:hanging="120"/>
      </w:pPr>
      <w:rPr>
        <w:lang w:val="en-US" w:eastAsia="en-US" w:bidi="ar-SA"/>
      </w:rPr>
    </w:lvl>
    <w:lvl w:ilvl="4" w:tplc="B282B6EC">
      <w:numFmt w:val="bullet"/>
      <w:lvlText w:val="•"/>
      <w:lvlJc w:val="left"/>
      <w:pPr>
        <w:ind w:left="3826" w:hanging="120"/>
      </w:pPr>
      <w:rPr>
        <w:lang w:val="en-US" w:eastAsia="en-US" w:bidi="ar-SA"/>
      </w:rPr>
    </w:lvl>
    <w:lvl w:ilvl="5" w:tplc="F112CBA6">
      <w:numFmt w:val="bullet"/>
      <w:lvlText w:val="•"/>
      <w:lvlJc w:val="left"/>
      <w:pPr>
        <w:ind w:left="4747" w:hanging="120"/>
      </w:pPr>
      <w:rPr>
        <w:lang w:val="en-US" w:eastAsia="en-US" w:bidi="ar-SA"/>
      </w:rPr>
    </w:lvl>
    <w:lvl w:ilvl="6" w:tplc="4FEA2A0A">
      <w:numFmt w:val="bullet"/>
      <w:lvlText w:val="•"/>
      <w:lvlJc w:val="left"/>
      <w:pPr>
        <w:ind w:left="5669" w:hanging="120"/>
      </w:pPr>
      <w:rPr>
        <w:lang w:val="en-US" w:eastAsia="en-US" w:bidi="ar-SA"/>
      </w:rPr>
    </w:lvl>
    <w:lvl w:ilvl="7" w:tplc="40C63DEA">
      <w:numFmt w:val="bullet"/>
      <w:lvlText w:val="•"/>
      <w:lvlJc w:val="left"/>
      <w:pPr>
        <w:ind w:left="6590" w:hanging="120"/>
      </w:pPr>
      <w:rPr>
        <w:lang w:val="en-US" w:eastAsia="en-US" w:bidi="ar-SA"/>
      </w:rPr>
    </w:lvl>
    <w:lvl w:ilvl="8" w:tplc="C8BC8A44">
      <w:numFmt w:val="bullet"/>
      <w:lvlText w:val="•"/>
      <w:lvlJc w:val="left"/>
      <w:pPr>
        <w:ind w:left="7512" w:hanging="120"/>
      </w:pPr>
      <w:rPr>
        <w:lang w:val="en-US" w:eastAsia="en-US" w:bidi="ar-SA"/>
      </w:rPr>
    </w:lvl>
  </w:abstractNum>
  <w:abstractNum w:abstractNumId="6" w15:restartNumberingAfterBreak="0">
    <w:nsid w:val="20F33AFF"/>
    <w:multiLevelType w:val="hybridMultilevel"/>
    <w:tmpl w:val="5A7A7E4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F2278"/>
    <w:multiLevelType w:val="hybridMultilevel"/>
    <w:tmpl w:val="5234FA06"/>
    <w:lvl w:ilvl="0" w:tplc="EBC6AA00">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4174455"/>
    <w:multiLevelType w:val="hybridMultilevel"/>
    <w:tmpl w:val="73E6E1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274EB4"/>
    <w:multiLevelType w:val="hybridMultilevel"/>
    <w:tmpl w:val="AA864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94A351D"/>
    <w:multiLevelType w:val="hybridMultilevel"/>
    <w:tmpl w:val="8FFE9FBE"/>
    <w:lvl w:ilvl="0" w:tplc="B624F144">
      <w:start w:val="1"/>
      <w:numFmt w:val="decimal"/>
      <w:pStyle w:val="Titre2"/>
      <w:lvlText w:val="Q%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521CC9"/>
    <w:multiLevelType w:val="hybridMultilevel"/>
    <w:tmpl w:val="EBDCE88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2" w15:restartNumberingAfterBreak="0">
    <w:nsid w:val="31CA626E"/>
    <w:multiLevelType w:val="hybridMultilevel"/>
    <w:tmpl w:val="068A2106"/>
    <w:lvl w:ilvl="0" w:tplc="7196DFF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AD0E53"/>
    <w:multiLevelType w:val="hybridMultilevel"/>
    <w:tmpl w:val="7B6C81B0"/>
    <w:lvl w:ilvl="0" w:tplc="4956CCD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BC109B8"/>
    <w:multiLevelType w:val="multilevel"/>
    <w:tmpl w:val="FE6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B2D0F"/>
    <w:multiLevelType w:val="hybridMultilevel"/>
    <w:tmpl w:val="91946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1176C1"/>
    <w:multiLevelType w:val="hybridMultilevel"/>
    <w:tmpl w:val="5DE0C466"/>
    <w:lvl w:ilvl="0" w:tplc="16B2267C">
      <w:numFmt w:val="bullet"/>
      <w:lvlText w:val="-"/>
      <w:lvlJc w:val="left"/>
      <w:pPr>
        <w:ind w:left="140" w:hanging="120"/>
      </w:pPr>
      <w:rPr>
        <w:rFonts w:ascii="Calibri" w:eastAsia="Calibri" w:hAnsi="Calibri" w:cs="Calibri" w:hint="default"/>
        <w:b w:val="0"/>
        <w:bCs w:val="0"/>
        <w:i w:val="0"/>
        <w:iCs w:val="0"/>
        <w:spacing w:val="0"/>
        <w:w w:val="111"/>
        <w:sz w:val="22"/>
        <w:szCs w:val="22"/>
        <w:lang w:val="en-US" w:eastAsia="en-US" w:bidi="ar-SA"/>
      </w:rPr>
    </w:lvl>
    <w:lvl w:ilvl="1" w:tplc="AD542268">
      <w:numFmt w:val="bullet"/>
      <w:lvlText w:val="-"/>
      <w:lvlJc w:val="left"/>
      <w:pPr>
        <w:ind w:left="140" w:hanging="120"/>
      </w:pPr>
      <w:rPr>
        <w:rFonts w:ascii="Calibri" w:eastAsia="Calibri" w:hAnsi="Calibri" w:cs="Calibri" w:hint="default"/>
        <w:b w:val="0"/>
        <w:bCs w:val="0"/>
        <w:i w:val="0"/>
        <w:iCs w:val="0"/>
        <w:spacing w:val="0"/>
        <w:w w:val="111"/>
        <w:sz w:val="22"/>
        <w:szCs w:val="22"/>
        <w:lang w:val="en-US" w:eastAsia="en-US" w:bidi="ar-SA"/>
      </w:rPr>
    </w:lvl>
    <w:lvl w:ilvl="2" w:tplc="473C2846">
      <w:numFmt w:val="bullet"/>
      <w:lvlText w:val="•"/>
      <w:lvlJc w:val="left"/>
      <w:pPr>
        <w:ind w:left="1983" w:hanging="120"/>
      </w:pPr>
      <w:rPr>
        <w:lang w:val="en-US" w:eastAsia="en-US" w:bidi="ar-SA"/>
      </w:rPr>
    </w:lvl>
    <w:lvl w:ilvl="3" w:tplc="8AC88722">
      <w:numFmt w:val="bullet"/>
      <w:lvlText w:val="•"/>
      <w:lvlJc w:val="left"/>
      <w:pPr>
        <w:ind w:left="2904" w:hanging="120"/>
      </w:pPr>
      <w:rPr>
        <w:lang w:val="en-US" w:eastAsia="en-US" w:bidi="ar-SA"/>
      </w:rPr>
    </w:lvl>
    <w:lvl w:ilvl="4" w:tplc="BABC40E2">
      <w:numFmt w:val="bullet"/>
      <w:lvlText w:val="•"/>
      <w:lvlJc w:val="left"/>
      <w:pPr>
        <w:ind w:left="3826" w:hanging="120"/>
      </w:pPr>
      <w:rPr>
        <w:lang w:val="en-US" w:eastAsia="en-US" w:bidi="ar-SA"/>
      </w:rPr>
    </w:lvl>
    <w:lvl w:ilvl="5" w:tplc="9B0ED9A0">
      <w:numFmt w:val="bullet"/>
      <w:lvlText w:val="•"/>
      <w:lvlJc w:val="left"/>
      <w:pPr>
        <w:ind w:left="4747" w:hanging="120"/>
      </w:pPr>
      <w:rPr>
        <w:lang w:val="en-US" w:eastAsia="en-US" w:bidi="ar-SA"/>
      </w:rPr>
    </w:lvl>
    <w:lvl w:ilvl="6" w:tplc="598CED08">
      <w:numFmt w:val="bullet"/>
      <w:lvlText w:val="•"/>
      <w:lvlJc w:val="left"/>
      <w:pPr>
        <w:ind w:left="5669" w:hanging="120"/>
      </w:pPr>
      <w:rPr>
        <w:lang w:val="en-US" w:eastAsia="en-US" w:bidi="ar-SA"/>
      </w:rPr>
    </w:lvl>
    <w:lvl w:ilvl="7" w:tplc="E2149410">
      <w:numFmt w:val="bullet"/>
      <w:lvlText w:val="•"/>
      <w:lvlJc w:val="left"/>
      <w:pPr>
        <w:ind w:left="6590" w:hanging="120"/>
      </w:pPr>
      <w:rPr>
        <w:lang w:val="en-US" w:eastAsia="en-US" w:bidi="ar-SA"/>
      </w:rPr>
    </w:lvl>
    <w:lvl w:ilvl="8" w:tplc="90242C7E">
      <w:numFmt w:val="bullet"/>
      <w:lvlText w:val="•"/>
      <w:lvlJc w:val="left"/>
      <w:pPr>
        <w:ind w:left="7512" w:hanging="120"/>
      </w:pPr>
      <w:rPr>
        <w:lang w:val="en-US" w:eastAsia="en-US" w:bidi="ar-SA"/>
      </w:rPr>
    </w:lvl>
  </w:abstractNum>
  <w:abstractNum w:abstractNumId="17" w15:restartNumberingAfterBreak="0">
    <w:nsid w:val="418B3AE2"/>
    <w:multiLevelType w:val="hybridMultilevel"/>
    <w:tmpl w:val="3CCCD6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330C8"/>
    <w:multiLevelType w:val="hybridMultilevel"/>
    <w:tmpl w:val="2BB2B9F0"/>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9" w15:restartNumberingAfterBreak="0">
    <w:nsid w:val="46975CD1"/>
    <w:multiLevelType w:val="multilevel"/>
    <w:tmpl w:val="2836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5438D"/>
    <w:multiLevelType w:val="multilevel"/>
    <w:tmpl w:val="888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E3811"/>
    <w:multiLevelType w:val="hybridMultilevel"/>
    <w:tmpl w:val="42E26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4C3F88"/>
    <w:multiLevelType w:val="multilevel"/>
    <w:tmpl w:val="0938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92545"/>
    <w:multiLevelType w:val="hybridMultilevel"/>
    <w:tmpl w:val="2564F9D8"/>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A3891"/>
    <w:multiLevelType w:val="multilevel"/>
    <w:tmpl w:val="7EC2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382504"/>
    <w:multiLevelType w:val="hybridMultilevel"/>
    <w:tmpl w:val="A288C988"/>
    <w:lvl w:ilvl="0" w:tplc="E404ED94">
      <w:numFmt w:val="bullet"/>
      <w:lvlText w:val="-"/>
      <w:lvlJc w:val="left"/>
      <w:pPr>
        <w:ind w:left="140" w:hanging="120"/>
      </w:pPr>
      <w:rPr>
        <w:rFonts w:ascii="Calibri" w:eastAsia="Calibri" w:hAnsi="Calibri" w:cs="Calibri" w:hint="default"/>
        <w:b w:val="0"/>
        <w:bCs w:val="0"/>
        <w:i w:val="0"/>
        <w:iCs w:val="0"/>
        <w:color w:val="006FC0"/>
        <w:spacing w:val="0"/>
        <w:w w:val="111"/>
        <w:sz w:val="22"/>
        <w:szCs w:val="22"/>
        <w:lang w:val="en-US" w:eastAsia="en-US" w:bidi="ar-SA"/>
      </w:rPr>
    </w:lvl>
    <w:lvl w:ilvl="1" w:tplc="DFA2D33C">
      <w:numFmt w:val="bullet"/>
      <w:lvlText w:val="•"/>
      <w:lvlJc w:val="left"/>
      <w:pPr>
        <w:ind w:left="1061" w:hanging="120"/>
      </w:pPr>
      <w:rPr>
        <w:lang w:val="en-US" w:eastAsia="en-US" w:bidi="ar-SA"/>
      </w:rPr>
    </w:lvl>
    <w:lvl w:ilvl="2" w:tplc="5DD661F8">
      <w:numFmt w:val="bullet"/>
      <w:lvlText w:val="•"/>
      <w:lvlJc w:val="left"/>
      <w:pPr>
        <w:ind w:left="1983" w:hanging="120"/>
      </w:pPr>
      <w:rPr>
        <w:lang w:val="en-US" w:eastAsia="en-US" w:bidi="ar-SA"/>
      </w:rPr>
    </w:lvl>
    <w:lvl w:ilvl="3" w:tplc="F2100026">
      <w:numFmt w:val="bullet"/>
      <w:lvlText w:val="•"/>
      <w:lvlJc w:val="left"/>
      <w:pPr>
        <w:ind w:left="2904" w:hanging="120"/>
      </w:pPr>
      <w:rPr>
        <w:lang w:val="en-US" w:eastAsia="en-US" w:bidi="ar-SA"/>
      </w:rPr>
    </w:lvl>
    <w:lvl w:ilvl="4" w:tplc="F190E52A">
      <w:numFmt w:val="bullet"/>
      <w:lvlText w:val="•"/>
      <w:lvlJc w:val="left"/>
      <w:pPr>
        <w:ind w:left="3826" w:hanging="120"/>
      </w:pPr>
      <w:rPr>
        <w:lang w:val="en-US" w:eastAsia="en-US" w:bidi="ar-SA"/>
      </w:rPr>
    </w:lvl>
    <w:lvl w:ilvl="5" w:tplc="2CA2A59A">
      <w:numFmt w:val="bullet"/>
      <w:lvlText w:val="•"/>
      <w:lvlJc w:val="left"/>
      <w:pPr>
        <w:ind w:left="4747" w:hanging="120"/>
      </w:pPr>
      <w:rPr>
        <w:lang w:val="en-US" w:eastAsia="en-US" w:bidi="ar-SA"/>
      </w:rPr>
    </w:lvl>
    <w:lvl w:ilvl="6" w:tplc="9F3C4720">
      <w:numFmt w:val="bullet"/>
      <w:lvlText w:val="•"/>
      <w:lvlJc w:val="left"/>
      <w:pPr>
        <w:ind w:left="5669" w:hanging="120"/>
      </w:pPr>
      <w:rPr>
        <w:lang w:val="en-US" w:eastAsia="en-US" w:bidi="ar-SA"/>
      </w:rPr>
    </w:lvl>
    <w:lvl w:ilvl="7" w:tplc="1AEAC166">
      <w:numFmt w:val="bullet"/>
      <w:lvlText w:val="•"/>
      <w:lvlJc w:val="left"/>
      <w:pPr>
        <w:ind w:left="6590" w:hanging="120"/>
      </w:pPr>
      <w:rPr>
        <w:lang w:val="en-US" w:eastAsia="en-US" w:bidi="ar-SA"/>
      </w:rPr>
    </w:lvl>
    <w:lvl w:ilvl="8" w:tplc="D8C6B77A">
      <w:numFmt w:val="bullet"/>
      <w:lvlText w:val="•"/>
      <w:lvlJc w:val="left"/>
      <w:pPr>
        <w:ind w:left="7512" w:hanging="120"/>
      </w:pPr>
      <w:rPr>
        <w:lang w:val="en-US" w:eastAsia="en-US" w:bidi="ar-SA"/>
      </w:rPr>
    </w:lvl>
  </w:abstractNum>
  <w:abstractNum w:abstractNumId="26" w15:restartNumberingAfterBreak="0">
    <w:nsid w:val="5FC55D6A"/>
    <w:multiLevelType w:val="multilevel"/>
    <w:tmpl w:val="0074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C00A3"/>
    <w:multiLevelType w:val="hybridMultilevel"/>
    <w:tmpl w:val="121E469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4816ED3"/>
    <w:multiLevelType w:val="hybridMultilevel"/>
    <w:tmpl w:val="FB767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F318A8"/>
    <w:multiLevelType w:val="hybridMultilevel"/>
    <w:tmpl w:val="21ECBAB2"/>
    <w:lvl w:ilvl="0" w:tplc="040C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267D1"/>
    <w:multiLevelType w:val="multilevel"/>
    <w:tmpl w:val="F02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A1D78"/>
    <w:multiLevelType w:val="multilevel"/>
    <w:tmpl w:val="74A45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1C276F6"/>
    <w:multiLevelType w:val="hybridMultilevel"/>
    <w:tmpl w:val="0DE2018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0D387B"/>
    <w:multiLevelType w:val="hybridMultilevel"/>
    <w:tmpl w:val="927E5A3E"/>
    <w:lvl w:ilvl="0" w:tplc="3DF2E92C">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5D54162"/>
    <w:multiLevelType w:val="singleLevel"/>
    <w:tmpl w:val="008A1FD6"/>
    <w:lvl w:ilvl="0">
      <w:start w:val="1"/>
      <w:numFmt w:val="decimal"/>
      <w:lvlRestart w:val="0"/>
      <w:lvlText w:val="%1."/>
      <w:lvlJc w:val="left"/>
      <w:pPr>
        <w:tabs>
          <w:tab w:val="num" w:pos="475"/>
        </w:tabs>
        <w:ind w:left="0" w:firstLine="0"/>
      </w:pPr>
      <w:rPr>
        <w:w w:val="100"/>
      </w:rPr>
    </w:lvl>
  </w:abstractNum>
  <w:abstractNum w:abstractNumId="35" w15:restartNumberingAfterBreak="0">
    <w:nsid w:val="774B4292"/>
    <w:multiLevelType w:val="hybridMultilevel"/>
    <w:tmpl w:val="552CCA7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DE2CFD"/>
    <w:multiLevelType w:val="hybridMultilevel"/>
    <w:tmpl w:val="531A9BA8"/>
    <w:lvl w:ilvl="0" w:tplc="3DF2E92C">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134613">
    <w:abstractNumId w:val="10"/>
  </w:num>
  <w:num w:numId="2" w16cid:durableId="1765222905">
    <w:abstractNumId w:val="13"/>
  </w:num>
  <w:num w:numId="3" w16cid:durableId="851147273">
    <w:abstractNumId w:val="24"/>
  </w:num>
  <w:num w:numId="4" w16cid:durableId="1829200815">
    <w:abstractNumId w:val="26"/>
  </w:num>
  <w:num w:numId="5" w16cid:durableId="1406295592">
    <w:abstractNumId w:val="20"/>
  </w:num>
  <w:num w:numId="6" w16cid:durableId="691878073">
    <w:abstractNumId w:val="30"/>
  </w:num>
  <w:num w:numId="7" w16cid:durableId="15842225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337873">
    <w:abstractNumId w:val="18"/>
  </w:num>
  <w:num w:numId="9" w16cid:durableId="1995445467">
    <w:abstractNumId w:val="8"/>
  </w:num>
  <w:num w:numId="10" w16cid:durableId="1417895404">
    <w:abstractNumId w:val="4"/>
  </w:num>
  <w:num w:numId="11" w16cid:durableId="1833449290">
    <w:abstractNumId w:val="32"/>
  </w:num>
  <w:num w:numId="12" w16cid:durableId="540561062">
    <w:abstractNumId w:val="27"/>
  </w:num>
  <w:num w:numId="13" w16cid:durableId="722296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0400535">
    <w:abstractNumId w:val="5"/>
  </w:num>
  <w:num w:numId="15" w16cid:durableId="1026179444">
    <w:abstractNumId w:val="25"/>
  </w:num>
  <w:num w:numId="16" w16cid:durableId="1732581595">
    <w:abstractNumId w:val="16"/>
  </w:num>
  <w:num w:numId="17" w16cid:durableId="1238899377">
    <w:abstractNumId w:val="14"/>
  </w:num>
  <w:num w:numId="18" w16cid:durableId="289360170">
    <w:abstractNumId w:val="2"/>
  </w:num>
  <w:num w:numId="19" w16cid:durableId="1257010371">
    <w:abstractNumId w:val="17"/>
  </w:num>
  <w:num w:numId="20" w16cid:durableId="1522620571">
    <w:abstractNumId w:val="10"/>
    <w:lvlOverride w:ilvl="0">
      <w:startOverride w:val="6"/>
    </w:lvlOverride>
  </w:num>
  <w:num w:numId="21" w16cid:durableId="588194826">
    <w:abstractNumId w:val="21"/>
  </w:num>
  <w:num w:numId="22" w16cid:durableId="1293973386">
    <w:abstractNumId w:val="6"/>
  </w:num>
  <w:num w:numId="23" w16cid:durableId="1719162004">
    <w:abstractNumId w:val="35"/>
  </w:num>
  <w:num w:numId="24" w16cid:durableId="1488014721">
    <w:abstractNumId w:val="29"/>
  </w:num>
  <w:num w:numId="25" w16cid:durableId="241647326">
    <w:abstractNumId w:val="36"/>
  </w:num>
  <w:num w:numId="26" w16cid:durableId="903753979">
    <w:abstractNumId w:val="2"/>
  </w:num>
  <w:num w:numId="27" w16cid:durableId="423308397">
    <w:abstractNumId w:val="33"/>
  </w:num>
  <w:num w:numId="28" w16cid:durableId="8454641">
    <w:abstractNumId w:val="3"/>
  </w:num>
  <w:num w:numId="29" w16cid:durableId="1801873294">
    <w:abstractNumId w:val="12"/>
  </w:num>
  <w:num w:numId="30" w16cid:durableId="205456124">
    <w:abstractNumId w:val="23"/>
  </w:num>
  <w:num w:numId="31" w16cid:durableId="325135988">
    <w:abstractNumId w:val="0"/>
  </w:num>
  <w:num w:numId="32" w16cid:durableId="313484910">
    <w:abstractNumId w:val="34"/>
    <w:lvlOverride w:ilvl="0">
      <w:lvl w:ilvl="0">
        <w:start w:val="1"/>
        <w:numFmt w:val="decimal"/>
        <w:lvlRestart w:val="0"/>
        <w:lvlText w:val="%1."/>
        <w:lvlJc w:val="left"/>
        <w:pPr>
          <w:tabs>
            <w:tab w:val="num" w:pos="475"/>
          </w:tabs>
          <w:ind w:left="0" w:firstLine="0"/>
        </w:pPr>
        <w:rPr>
          <w:w w:val="100"/>
        </w:rPr>
      </w:lvl>
    </w:lvlOverride>
  </w:num>
  <w:num w:numId="33" w16cid:durableId="16516222">
    <w:abstractNumId w:val="7"/>
  </w:num>
  <w:num w:numId="34" w16cid:durableId="9531477">
    <w:abstractNumId w:val="10"/>
  </w:num>
  <w:num w:numId="35" w16cid:durableId="418841062">
    <w:abstractNumId w:val="10"/>
  </w:num>
  <w:num w:numId="36" w16cid:durableId="821654855">
    <w:abstractNumId w:val="10"/>
    <w:lvlOverride w:ilvl="0">
      <w:startOverride w:val="6"/>
    </w:lvlOverride>
  </w:num>
  <w:num w:numId="37" w16cid:durableId="1330868559">
    <w:abstractNumId w:val="19"/>
  </w:num>
  <w:num w:numId="38" w16cid:durableId="1661229381">
    <w:abstractNumId w:val="1"/>
  </w:num>
  <w:num w:numId="39" w16cid:durableId="997423056">
    <w:abstractNumId w:val="11"/>
  </w:num>
  <w:num w:numId="40" w16cid:durableId="39209153">
    <w:abstractNumId w:val="28"/>
  </w:num>
  <w:num w:numId="41" w16cid:durableId="1718778880">
    <w:abstractNumId w:val="10"/>
    <w:lvlOverride w:ilvl="0">
      <w:startOverride w:val="6"/>
    </w:lvlOverride>
  </w:num>
  <w:num w:numId="42" w16cid:durableId="669648636">
    <w:abstractNumId w:val="9"/>
  </w:num>
  <w:num w:numId="43" w16cid:durableId="2016305600">
    <w:abstractNumId w:val="15"/>
  </w:num>
  <w:num w:numId="44" w16cid:durableId="253978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E4"/>
    <w:rsid w:val="000015F3"/>
    <w:rsid w:val="00002311"/>
    <w:rsid w:val="00016A63"/>
    <w:rsid w:val="00016BA8"/>
    <w:rsid w:val="000208A8"/>
    <w:rsid w:val="0002103C"/>
    <w:rsid w:val="000247E0"/>
    <w:rsid w:val="00032A70"/>
    <w:rsid w:val="0003366A"/>
    <w:rsid w:val="00033AC2"/>
    <w:rsid w:val="00035C91"/>
    <w:rsid w:val="000410C8"/>
    <w:rsid w:val="0004268E"/>
    <w:rsid w:val="00043157"/>
    <w:rsid w:val="0004338F"/>
    <w:rsid w:val="0004445D"/>
    <w:rsid w:val="000444CA"/>
    <w:rsid w:val="00045200"/>
    <w:rsid w:val="00047D4A"/>
    <w:rsid w:val="00050181"/>
    <w:rsid w:val="0005594F"/>
    <w:rsid w:val="00057A1F"/>
    <w:rsid w:val="000606B9"/>
    <w:rsid w:val="000631E4"/>
    <w:rsid w:val="00064526"/>
    <w:rsid w:val="00065980"/>
    <w:rsid w:val="00066C86"/>
    <w:rsid w:val="00067424"/>
    <w:rsid w:val="000702F4"/>
    <w:rsid w:val="00081222"/>
    <w:rsid w:val="00082E55"/>
    <w:rsid w:val="00085697"/>
    <w:rsid w:val="000860E7"/>
    <w:rsid w:val="000905A7"/>
    <w:rsid w:val="00091A81"/>
    <w:rsid w:val="00094E48"/>
    <w:rsid w:val="00094EA8"/>
    <w:rsid w:val="00095C35"/>
    <w:rsid w:val="00095DCE"/>
    <w:rsid w:val="00097E29"/>
    <w:rsid w:val="00097EA8"/>
    <w:rsid w:val="000A03BC"/>
    <w:rsid w:val="000A0A47"/>
    <w:rsid w:val="000A379F"/>
    <w:rsid w:val="000A4BA8"/>
    <w:rsid w:val="000B0A0D"/>
    <w:rsid w:val="000B1829"/>
    <w:rsid w:val="000B1FE3"/>
    <w:rsid w:val="000B4C1A"/>
    <w:rsid w:val="000B5412"/>
    <w:rsid w:val="000B7623"/>
    <w:rsid w:val="000C1102"/>
    <w:rsid w:val="000C1213"/>
    <w:rsid w:val="000C288D"/>
    <w:rsid w:val="000D039C"/>
    <w:rsid w:val="000D1C54"/>
    <w:rsid w:val="000D75BC"/>
    <w:rsid w:val="000E4D75"/>
    <w:rsid w:val="000E5EDB"/>
    <w:rsid w:val="000E61BF"/>
    <w:rsid w:val="000E6826"/>
    <w:rsid w:val="000E7CEE"/>
    <w:rsid w:val="000F1B0E"/>
    <w:rsid w:val="000F2867"/>
    <w:rsid w:val="000F2965"/>
    <w:rsid w:val="000F2D96"/>
    <w:rsid w:val="000F32A9"/>
    <w:rsid w:val="00103D8F"/>
    <w:rsid w:val="00115690"/>
    <w:rsid w:val="00116B20"/>
    <w:rsid w:val="00117EA3"/>
    <w:rsid w:val="00122AC8"/>
    <w:rsid w:val="00123EA1"/>
    <w:rsid w:val="001255F2"/>
    <w:rsid w:val="0013587D"/>
    <w:rsid w:val="00140CEE"/>
    <w:rsid w:val="0014459F"/>
    <w:rsid w:val="001544F9"/>
    <w:rsid w:val="001548DA"/>
    <w:rsid w:val="00155C85"/>
    <w:rsid w:val="00156D52"/>
    <w:rsid w:val="00160963"/>
    <w:rsid w:val="00166FF4"/>
    <w:rsid w:val="001675B1"/>
    <w:rsid w:val="00174FD6"/>
    <w:rsid w:val="00176847"/>
    <w:rsid w:val="0018037C"/>
    <w:rsid w:val="00180D22"/>
    <w:rsid w:val="001821CA"/>
    <w:rsid w:val="00190883"/>
    <w:rsid w:val="001913E7"/>
    <w:rsid w:val="001939FE"/>
    <w:rsid w:val="00194589"/>
    <w:rsid w:val="001A0296"/>
    <w:rsid w:val="001A1303"/>
    <w:rsid w:val="001A2631"/>
    <w:rsid w:val="001B4A20"/>
    <w:rsid w:val="001C279B"/>
    <w:rsid w:val="001C2B0F"/>
    <w:rsid w:val="001C4D07"/>
    <w:rsid w:val="001D1719"/>
    <w:rsid w:val="001D209C"/>
    <w:rsid w:val="001F2CFF"/>
    <w:rsid w:val="001F4D4A"/>
    <w:rsid w:val="001F6FA4"/>
    <w:rsid w:val="001F7AEE"/>
    <w:rsid w:val="00211EE2"/>
    <w:rsid w:val="00213F5F"/>
    <w:rsid w:val="002172AE"/>
    <w:rsid w:val="00220099"/>
    <w:rsid w:val="00224C7F"/>
    <w:rsid w:val="00226007"/>
    <w:rsid w:val="0022637D"/>
    <w:rsid w:val="00230CC6"/>
    <w:rsid w:val="00235580"/>
    <w:rsid w:val="002416FC"/>
    <w:rsid w:val="00241D0F"/>
    <w:rsid w:val="00245642"/>
    <w:rsid w:val="00252D98"/>
    <w:rsid w:val="00252E54"/>
    <w:rsid w:val="002621BE"/>
    <w:rsid w:val="0026375A"/>
    <w:rsid w:val="00266AC8"/>
    <w:rsid w:val="00271C38"/>
    <w:rsid w:val="002728F4"/>
    <w:rsid w:val="00274498"/>
    <w:rsid w:val="00280AD6"/>
    <w:rsid w:val="002832EC"/>
    <w:rsid w:val="00285BEA"/>
    <w:rsid w:val="002A487F"/>
    <w:rsid w:val="002B2419"/>
    <w:rsid w:val="002B2B8F"/>
    <w:rsid w:val="002B3DFD"/>
    <w:rsid w:val="002B40A2"/>
    <w:rsid w:val="002B7672"/>
    <w:rsid w:val="002C146C"/>
    <w:rsid w:val="002C246F"/>
    <w:rsid w:val="002C3E89"/>
    <w:rsid w:val="002C7D61"/>
    <w:rsid w:val="002D22DD"/>
    <w:rsid w:val="002D3FB1"/>
    <w:rsid w:val="002D57D5"/>
    <w:rsid w:val="002D7C7B"/>
    <w:rsid w:val="002E03C9"/>
    <w:rsid w:val="002E2726"/>
    <w:rsid w:val="002E5697"/>
    <w:rsid w:val="002E7A5B"/>
    <w:rsid w:val="002F0498"/>
    <w:rsid w:val="002F068A"/>
    <w:rsid w:val="002F0E05"/>
    <w:rsid w:val="002F62DF"/>
    <w:rsid w:val="00306439"/>
    <w:rsid w:val="00313A1F"/>
    <w:rsid w:val="0031505C"/>
    <w:rsid w:val="003165BC"/>
    <w:rsid w:val="0031666C"/>
    <w:rsid w:val="00317B88"/>
    <w:rsid w:val="00323C2B"/>
    <w:rsid w:val="00325E36"/>
    <w:rsid w:val="00330EF4"/>
    <w:rsid w:val="00333152"/>
    <w:rsid w:val="003355D6"/>
    <w:rsid w:val="0034063B"/>
    <w:rsid w:val="003453F2"/>
    <w:rsid w:val="00346BAE"/>
    <w:rsid w:val="003518DE"/>
    <w:rsid w:val="00354B6F"/>
    <w:rsid w:val="00357451"/>
    <w:rsid w:val="003578BB"/>
    <w:rsid w:val="00357AA0"/>
    <w:rsid w:val="0036324E"/>
    <w:rsid w:val="00366C96"/>
    <w:rsid w:val="00375906"/>
    <w:rsid w:val="0037670D"/>
    <w:rsid w:val="00377EEB"/>
    <w:rsid w:val="00380246"/>
    <w:rsid w:val="00381649"/>
    <w:rsid w:val="00382192"/>
    <w:rsid w:val="00385284"/>
    <w:rsid w:val="00386138"/>
    <w:rsid w:val="00386A48"/>
    <w:rsid w:val="003874D1"/>
    <w:rsid w:val="00397BB6"/>
    <w:rsid w:val="003A411D"/>
    <w:rsid w:val="003A77EF"/>
    <w:rsid w:val="003B1128"/>
    <w:rsid w:val="003B68C2"/>
    <w:rsid w:val="003C0444"/>
    <w:rsid w:val="003C0B09"/>
    <w:rsid w:val="003C14E5"/>
    <w:rsid w:val="003C35BB"/>
    <w:rsid w:val="003D1209"/>
    <w:rsid w:val="003D484D"/>
    <w:rsid w:val="003D4869"/>
    <w:rsid w:val="003E213E"/>
    <w:rsid w:val="003E3107"/>
    <w:rsid w:val="003F1BCB"/>
    <w:rsid w:val="003F6602"/>
    <w:rsid w:val="003F7775"/>
    <w:rsid w:val="0040445F"/>
    <w:rsid w:val="00407336"/>
    <w:rsid w:val="00407693"/>
    <w:rsid w:val="00416C75"/>
    <w:rsid w:val="00426197"/>
    <w:rsid w:val="00431D3F"/>
    <w:rsid w:val="00432E9C"/>
    <w:rsid w:val="004330F7"/>
    <w:rsid w:val="0043687F"/>
    <w:rsid w:val="00446F26"/>
    <w:rsid w:val="004518F2"/>
    <w:rsid w:val="0045288F"/>
    <w:rsid w:val="00452F24"/>
    <w:rsid w:val="00456294"/>
    <w:rsid w:val="00460BD8"/>
    <w:rsid w:val="00461562"/>
    <w:rsid w:val="004618C2"/>
    <w:rsid w:val="0046492C"/>
    <w:rsid w:val="004651F2"/>
    <w:rsid w:val="00465E21"/>
    <w:rsid w:val="00474389"/>
    <w:rsid w:val="004751B6"/>
    <w:rsid w:val="00477F35"/>
    <w:rsid w:val="00480EDF"/>
    <w:rsid w:val="00481F62"/>
    <w:rsid w:val="004820DD"/>
    <w:rsid w:val="0048349A"/>
    <w:rsid w:val="0048380A"/>
    <w:rsid w:val="004879A8"/>
    <w:rsid w:val="00487C41"/>
    <w:rsid w:val="00491CBD"/>
    <w:rsid w:val="00497011"/>
    <w:rsid w:val="004A1E8B"/>
    <w:rsid w:val="004A20B2"/>
    <w:rsid w:val="004A6015"/>
    <w:rsid w:val="004A6AC0"/>
    <w:rsid w:val="004A7CCA"/>
    <w:rsid w:val="004B0585"/>
    <w:rsid w:val="004B14D2"/>
    <w:rsid w:val="004B39D8"/>
    <w:rsid w:val="004B4526"/>
    <w:rsid w:val="004B5867"/>
    <w:rsid w:val="004C361F"/>
    <w:rsid w:val="004C5D2F"/>
    <w:rsid w:val="004D2869"/>
    <w:rsid w:val="004D3D9C"/>
    <w:rsid w:val="004D41C5"/>
    <w:rsid w:val="004D48FA"/>
    <w:rsid w:val="004E385D"/>
    <w:rsid w:val="004E7254"/>
    <w:rsid w:val="004F0A29"/>
    <w:rsid w:val="004F4AA5"/>
    <w:rsid w:val="004F4AC7"/>
    <w:rsid w:val="00500FE8"/>
    <w:rsid w:val="00506412"/>
    <w:rsid w:val="0050752F"/>
    <w:rsid w:val="0051131F"/>
    <w:rsid w:val="005241D2"/>
    <w:rsid w:val="00524400"/>
    <w:rsid w:val="00527C8B"/>
    <w:rsid w:val="005318CB"/>
    <w:rsid w:val="0055514A"/>
    <w:rsid w:val="00563F34"/>
    <w:rsid w:val="00567C56"/>
    <w:rsid w:val="0057238B"/>
    <w:rsid w:val="005757F2"/>
    <w:rsid w:val="00580B28"/>
    <w:rsid w:val="00590451"/>
    <w:rsid w:val="00591AAA"/>
    <w:rsid w:val="00591BDC"/>
    <w:rsid w:val="005A0669"/>
    <w:rsid w:val="005A5573"/>
    <w:rsid w:val="005A56B0"/>
    <w:rsid w:val="005A7F30"/>
    <w:rsid w:val="005B4A63"/>
    <w:rsid w:val="005B5157"/>
    <w:rsid w:val="005C0033"/>
    <w:rsid w:val="005C2091"/>
    <w:rsid w:val="005C4FD9"/>
    <w:rsid w:val="005C6B7E"/>
    <w:rsid w:val="005C74A7"/>
    <w:rsid w:val="005D1569"/>
    <w:rsid w:val="005D5C3C"/>
    <w:rsid w:val="005D7F6E"/>
    <w:rsid w:val="005E3CE7"/>
    <w:rsid w:val="005E5E6C"/>
    <w:rsid w:val="005F195E"/>
    <w:rsid w:val="005F1C13"/>
    <w:rsid w:val="005F3F86"/>
    <w:rsid w:val="005F44F0"/>
    <w:rsid w:val="005F5D1D"/>
    <w:rsid w:val="005F7478"/>
    <w:rsid w:val="00600115"/>
    <w:rsid w:val="00602A81"/>
    <w:rsid w:val="006062F2"/>
    <w:rsid w:val="00606C7A"/>
    <w:rsid w:val="00611B8C"/>
    <w:rsid w:val="00615121"/>
    <w:rsid w:val="006222E0"/>
    <w:rsid w:val="00623090"/>
    <w:rsid w:val="0062403D"/>
    <w:rsid w:val="00631471"/>
    <w:rsid w:val="00633BE5"/>
    <w:rsid w:val="006348A1"/>
    <w:rsid w:val="0063527A"/>
    <w:rsid w:val="00640A96"/>
    <w:rsid w:val="00640F18"/>
    <w:rsid w:val="006421D9"/>
    <w:rsid w:val="006503D8"/>
    <w:rsid w:val="0065412E"/>
    <w:rsid w:val="00656982"/>
    <w:rsid w:val="006663BA"/>
    <w:rsid w:val="00666AF7"/>
    <w:rsid w:val="00667529"/>
    <w:rsid w:val="00667B62"/>
    <w:rsid w:val="006842AA"/>
    <w:rsid w:val="00686505"/>
    <w:rsid w:val="006909BA"/>
    <w:rsid w:val="0069455E"/>
    <w:rsid w:val="00696A17"/>
    <w:rsid w:val="006A0264"/>
    <w:rsid w:val="006A0E4E"/>
    <w:rsid w:val="006A466A"/>
    <w:rsid w:val="006A4BB5"/>
    <w:rsid w:val="006A4C08"/>
    <w:rsid w:val="006B05C0"/>
    <w:rsid w:val="006B1668"/>
    <w:rsid w:val="006B16AC"/>
    <w:rsid w:val="006B45CB"/>
    <w:rsid w:val="006B463F"/>
    <w:rsid w:val="006B6816"/>
    <w:rsid w:val="006C3C99"/>
    <w:rsid w:val="006D08FC"/>
    <w:rsid w:val="006D28F9"/>
    <w:rsid w:val="006E6A59"/>
    <w:rsid w:val="006F1B17"/>
    <w:rsid w:val="006F1E5D"/>
    <w:rsid w:val="006F5EA9"/>
    <w:rsid w:val="006F6FD9"/>
    <w:rsid w:val="006F7F18"/>
    <w:rsid w:val="00700F92"/>
    <w:rsid w:val="00702973"/>
    <w:rsid w:val="0070353C"/>
    <w:rsid w:val="007052CD"/>
    <w:rsid w:val="0071186F"/>
    <w:rsid w:val="00714A27"/>
    <w:rsid w:val="007155AC"/>
    <w:rsid w:val="00716E17"/>
    <w:rsid w:val="0072244E"/>
    <w:rsid w:val="0073160D"/>
    <w:rsid w:val="00734AD0"/>
    <w:rsid w:val="00744532"/>
    <w:rsid w:val="00746147"/>
    <w:rsid w:val="007513FD"/>
    <w:rsid w:val="00755106"/>
    <w:rsid w:val="00755EF1"/>
    <w:rsid w:val="00761B93"/>
    <w:rsid w:val="007648A1"/>
    <w:rsid w:val="007746B7"/>
    <w:rsid w:val="007747E6"/>
    <w:rsid w:val="00777DD1"/>
    <w:rsid w:val="00782BF5"/>
    <w:rsid w:val="007848EF"/>
    <w:rsid w:val="00785939"/>
    <w:rsid w:val="00791530"/>
    <w:rsid w:val="00792105"/>
    <w:rsid w:val="007947BA"/>
    <w:rsid w:val="007A2256"/>
    <w:rsid w:val="007A51F5"/>
    <w:rsid w:val="007A7A36"/>
    <w:rsid w:val="007B09C8"/>
    <w:rsid w:val="007B11BA"/>
    <w:rsid w:val="007B18DC"/>
    <w:rsid w:val="007B23CD"/>
    <w:rsid w:val="007B7282"/>
    <w:rsid w:val="007B7958"/>
    <w:rsid w:val="007C0683"/>
    <w:rsid w:val="007C3B0A"/>
    <w:rsid w:val="007C7520"/>
    <w:rsid w:val="007D2A2A"/>
    <w:rsid w:val="007D3CE1"/>
    <w:rsid w:val="007E3EEB"/>
    <w:rsid w:val="007E5D34"/>
    <w:rsid w:val="007F46B1"/>
    <w:rsid w:val="007F4C1B"/>
    <w:rsid w:val="00802534"/>
    <w:rsid w:val="00805953"/>
    <w:rsid w:val="00810CC8"/>
    <w:rsid w:val="00812731"/>
    <w:rsid w:val="00813524"/>
    <w:rsid w:val="0081373E"/>
    <w:rsid w:val="00821576"/>
    <w:rsid w:val="00825238"/>
    <w:rsid w:val="00830CD5"/>
    <w:rsid w:val="0083456B"/>
    <w:rsid w:val="00837EA9"/>
    <w:rsid w:val="00842040"/>
    <w:rsid w:val="0085519B"/>
    <w:rsid w:val="00862C21"/>
    <w:rsid w:val="00864D8F"/>
    <w:rsid w:val="00871796"/>
    <w:rsid w:val="00875EB6"/>
    <w:rsid w:val="0087713D"/>
    <w:rsid w:val="00881406"/>
    <w:rsid w:val="008913C6"/>
    <w:rsid w:val="008A1247"/>
    <w:rsid w:val="008A205F"/>
    <w:rsid w:val="008B095B"/>
    <w:rsid w:val="008B1243"/>
    <w:rsid w:val="008B16D7"/>
    <w:rsid w:val="008B2170"/>
    <w:rsid w:val="008B3E80"/>
    <w:rsid w:val="008B627C"/>
    <w:rsid w:val="008B7AEA"/>
    <w:rsid w:val="008C0585"/>
    <w:rsid w:val="008C257D"/>
    <w:rsid w:val="008C784C"/>
    <w:rsid w:val="008D233B"/>
    <w:rsid w:val="008D7788"/>
    <w:rsid w:val="008E0645"/>
    <w:rsid w:val="008E1076"/>
    <w:rsid w:val="008E34D1"/>
    <w:rsid w:val="008E4E27"/>
    <w:rsid w:val="008E7E9D"/>
    <w:rsid w:val="008F1F93"/>
    <w:rsid w:val="008F631B"/>
    <w:rsid w:val="00900A95"/>
    <w:rsid w:val="00900D8B"/>
    <w:rsid w:val="009029EE"/>
    <w:rsid w:val="009059F7"/>
    <w:rsid w:val="0091393D"/>
    <w:rsid w:val="00914F88"/>
    <w:rsid w:val="0091722F"/>
    <w:rsid w:val="00920383"/>
    <w:rsid w:val="00920885"/>
    <w:rsid w:val="009264E5"/>
    <w:rsid w:val="00930BF5"/>
    <w:rsid w:val="00930E1A"/>
    <w:rsid w:val="00932173"/>
    <w:rsid w:val="0094192B"/>
    <w:rsid w:val="009446B1"/>
    <w:rsid w:val="00946E83"/>
    <w:rsid w:val="0095284E"/>
    <w:rsid w:val="009570C5"/>
    <w:rsid w:val="00962147"/>
    <w:rsid w:val="00976F0D"/>
    <w:rsid w:val="00981263"/>
    <w:rsid w:val="00982C5C"/>
    <w:rsid w:val="009857DE"/>
    <w:rsid w:val="00986C6D"/>
    <w:rsid w:val="0099054E"/>
    <w:rsid w:val="00992B08"/>
    <w:rsid w:val="00995FBE"/>
    <w:rsid w:val="00997157"/>
    <w:rsid w:val="009A0B78"/>
    <w:rsid w:val="009A27D2"/>
    <w:rsid w:val="009A2943"/>
    <w:rsid w:val="009A388C"/>
    <w:rsid w:val="009A4B78"/>
    <w:rsid w:val="009B280B"/>
    <w:rsid w:val="009B288B"/>
    <w:rsid w:val="009B4F40"/>
    <w:rsid w:val="009C002C"/>
    <w:rsid w:val="009C2EAC"/>
    <w:rsid w:val="009C3DAD"/>
    <w:rsid w:val="009C5A01"/>
    <w:rsid w:val="009D1A18"/>
    <w:rsid w:val="009D2A9D"/>
    <w:rsid w:val="009D507D"/>
    <w:rsid w:val="009D64C4"/>
    <w:rsid w:val="009D75DC"/>
    <w:rsid w:val="009F072F"/>
    <w:rsid w:val="00A02D76"/>
    <w:rsid w:val="00A05318"/>
    <w:rsid w:val="00A05639"/>
    <w:rsid w:val="00A10EB9"/>
    <w:rsid w:val="00A11755"/>
    <w:rsid w:val="00A141A6"/>
    <w:rsid w:val="00A22BBC"/>
    <w:rsid w:val="00A34E01"/>
    <w:rsid w:val="00A4000C"/>
    <w:rsid w:val="00A46200"/>
    <w:rsid w:val="00A52B4B"/>
    <w:rsid w:val="00A5422A"/>
    <w:rsid w:val="00A562ED"/>
    <w:rsid w:val="00A56F34"/>
    <w:rsid w:val="00A62C20"/>
    <w:rsid w:val="00A66069"/>
    <w:rsid w:val="00A71C52"/>
    <w:rsid w:val="00A761EE"/>
    <w:rsid w:val="00A779C8"/>
    <w:rsid w:val="00A86B0E"/>
    <w:rsid w:val="00A91EE5"/>
    <w:rsid w:val="00A93971"/>
    <w:rsid w:val="00AA2E3C"/>
    <w:rsid w:val="00AA5755"/>
    <w:rsid w:val="00AA7A97"/>
    <w:rsid w:val="00AB0F53"/>
    <w:rsid w:val="00AB1A0F"/>
    <w:rsid w:val="00AB2633"/>
    <w:rsid w:val="00AB4DB1"/>
    <w:rsid w:val="00AB59E7"/>
    <w:rsid w:val="00AB7348"/>
    <w:rsid w:val="00AB7D9C"/>
    <w:rsid w:val="00AC0FF2"/>
    <w:rsid w:val="00AC2213"/>
    <w:rsid w:val="00AD2F52"/>
    <w:rsid w:val="00AE0513"/>
    <w:rsid w:val="00AE105A"/>
    <w:rsid w:val="00AE5592"/>
    <w:rsid w:val="00AF081B"/>
    <w:rsid w:val="00AF1155"/>
    <w:rsid w:val="00B00D49"/>
    <w:rsid w:val="00B0467B"/>
    <w:rsid w:val="00B05AB6"/>
    <w:rsid w:val="00B10204"/>
    <w:rsid w:val="00B10FD0"/>
    <w:rsid w:val="00B14539"/>
    <w:rsid w:val="00B15B2D"/>
    <w:rsid w:val="00B2013C"/>
    <w:rsid w:val="00B210A8"/>
    <w:rsid w:val="00B21F47"/>
    <w:rsid w:val="00B23273"/>
    <w:rsid w:val="00B30748"/>
    <w:rsid w:val="00B31CC7"/>
    <w:rsid w:val="00B34616"/>
    <w:rsid w:val="00B4069C"/>
    <w:rsid w:val="00B42FE0"/>
    <w:rsid w:val="00B44414"/>
    <w:rsid w:val="00B52D16"/>
    <w:rsid w:val="00B6165A"/>
    <w:rsid w:val="00B63896"/>
    <w:rsid w:val="00B705B7"/>
    <w:rsid w:val="00B7256C"/>
    <w:rsid w:val="00B765FE"/>
    <w:rsid w:val="00B77EB4"/>
    <w:rsid w:val="00B85F88"/>
    <w:rsid w:val="00B917AA"/>
    <w:rsid w:val="00B943EA"/>
    <w:rsid w:val="00BA578D"/>
    <w:rsid w:val="00BA7E0D"/>
    <w:rsid w:val="00BB24A5"/>
    <w:rsid w:val="00BB31B9"/>
    <w:rsid w:val="00BB3757"/>
    <w:rsid w:val="00BB4064"/>
    <w:rsid w:val="00BB54C0"/>
    <w:rsid w:val="00BC0086"/>
    <w:rsid w:val="00BC3D4A"/>
    <w:rsid w:val="00BD1993"/>
    <w:rsid w:val="00BE2CCB"/>
    <w:rsid w:val="00BE3579"/>
    <w:rsid w:val="00BE753B"/>
    <w:rsid w:val="00BF0A61"/>
    <w:rsid w:val="00BF3F7C"/>
    <w:rsid w:val="00BF4B98"/>
    <w:rsid w:val="00BF6C0F"/>
    <w:rsid w:val="00C033ED"/>
    <w:rsid w:val="00C06C92"/>
    <w:rsid w:val="00C1036C"/>
    <w:rsid w:val="00C13BEB"/>
    <w:rsid w:val="00C13C65"/>
    <w:rsid w:val="00C16EB1"/>
    <w:rsid w:val="00C176E3"/>
    <w:rsid w:val="00C24797"/>
    <w:rsid w:val="00C31984"/>
    <w:rsid w:val="00C32F9C"/>
    <w:rsid w:val="00C34F31"/>
    <w:rsid w:val="00C3701C"/>
    <w:rsid w:val="00C37CB3"/>
    <w:rsid w:val="00C40C56"/>
    <w:rsid w:val="00C431F3"/>
    <w:rsid w:val="00C4422D"/>
    <w:rsid w:val="00C44F5B"/>
    <w:rsid w:val="00C469BB"/>
    <w:rsid w:val="00C47BEA"/>
    <w:rsid w:val="00C5042A"/>
    <w:rsid w:val="00C5060C"/>
    <w:rsid w:val="00C51C13"/>
    <w:rsid w:val="00C52D4C"/>
    <w:rsid w:val="00C56B3B"/>
    <w:rsid w:val="00C6058D"/>
    <w:rsid w:val="00C61CF2"/>
    <w:rsid w:val="00C64BC2"/>
    <w:rsid w:val="00C7044F"/>
    <w:rsid w:val="00C73BCF"/>
    <w:rsid w:val="00C74310"/>
    <w:rsid w:val="00C74461"/>
    <w:rsid w:val="00C7704B"/>
    <w:rsid w:val="00C80CAC"/>
    <w:rsid w:val="00C85E86"/>
    <w:rsid w:val="00C92365"/>
    <w:rsid w:val="00C92F29"/>
    <w:rsid w:val="00C92FF9"/>
    <w:rsid w:val="00C95D8D"/>
    <w:rsid w:val="00CB150D"/>
    <w:rsid w:val="00CB229C"/>
    <w:rsid w:val="00CB3424"/>
    <w:rsid w:val="00CB52FB"/>
    <w:rsid w:val="00CB7036"/>
    <w:rsid w:val="00CB734F"/>
    <w:rsid w:val="00CC2517"/>
    <w:rsid w:val="00CE00F3"/>
    <w:rsid w:val="00CE5C9F"/>
    <w:rsid w:val="00CE6886"/>
    <w:rsid w:val="00CF03DF"/>
    <w:rsid w:val="00CF214D"/>
    <w:rsid w:val="00CF25B0"/>
    <w:rsid w:val="00D019E1"/>
    <w:rsid w:val="00D07CF5"/>
    <w:rsid w:val="00D2052D"/>
    <w:rsid w:val="00D2063F"/>
    <w:rsid w:val="00D25B11"/>
    <w:rsid w:val="00D26D57"/>
    <w:rsid w:val="00D32191"/>
    <w:rsid w:val="00D3703E"/>
    <w:rsid w:val="00D43DD8"/>
    <w:rsid w:val="00D46867"/>
    <w:rsid w:val="00D4797C"/>
    <w:rsid w:val="00D51B74"/>
    <w:rsid w:val="00D52559"/>
    <w:rsid w:val="00D66654"/>
    <w:rsid w:val="00D67B1E"/>
    <w:rsid w:val="00D67EE2"/>
    <w:rsid w:val="00D72398"/>
    <w:rsid w:val="00D72D93"/>
    <w:rsid w:val="00D73AE9"/>
    <w:rsid w:val="00D838F8"/>
    <w:rsid w:val="00D84109"/>
    <w:rsid w:val="00D86019"/>
    <w:rsid w:val="00D86029"/>
    <w:rsid w:val="00D861DE"/>
    <w:rsid w:val="00D86E3E"/>
    <w:rsid w:val="00D94EBA"/>
    <w:rsid w:val="00DA1DAE"/>
    <w:rsid w:val="00DB1A01"/>
    <w:rsid w:val="00DB3917"/>
    <w:rsid w:val="00DB66EF"/>
    <w:rsid w:val="00DC05F1"/>
    <w:rsid w:val="00DC34BF"/>
    <w:rsid w:val="00DC4175"/>
    <w:rsid w:val="00DD0EAA"/>
    <w:rsid w:val="00DD5EB6"/>
    <w:rsid w:val="00DE15CD"/>
    <w:rsid w:val="00DE20FC"/>
    <w:rsid w:val="00DE3F0D"/>
    <w:rsid w:val="00DE6890"/>
    <w:rsid w:val="00DF0361"/>
    <w:rsid w:val="00DF08F0"/>
    <w:rsid w:val="00DF7368"/>
    <w:rsid w:val="00E001A5"/>
    <w:rsid w:val="00E04C8F"/>
    <w:rsid w:val="00E05423"/>
    <w:rsid w:val="00E15818"/>
    <w:rsid w:val="00E15E67"/>
    <w:rsid w:val="00E222FF"/>
    <w:rsid w:val="00E22391"/>
    <w:rsid w:val="00E251FB"/>
    <w:rsid w:val="00E33CA1"/>
    <w:rsid w:val="00E35AA3"/>
    <w:rsid w:val="00E37BA1"/>
    <w:rsid w:val="00E42B4D"/>
    <w:rsid w:val="00E453B3"/>
    <w:rsid w:val="00E510AA"/>
    <w:rsid w:val="00E6248E"/>
    <w:rsid w:val="00E7481D"/>
    <w:rsid w:val="00E84209"/>
    <w:rsid w:val="00E9680E"/>
    <w:rsid w:val="00E97D1D"/>
    <w:rsid w:val="00EA0214"/>
    <w:rsid w:val="00EA2EAE"/>
    <w:rsid w:val="00EA56C3"/>
    <w:rsid w:val="00EB1973"/>
    <w:rsid w:val="00EC6A02"/>
    <w:rsid w:val="00ED2371"/>
    <w:rsid w:val="00ED545D"/>
    <w:rsid w:val="00ED5EB4"/>
    <w:rsid w:val="00ED67F3"/>
    <w:rsid w:val="00EE1196"/>
    <w:rsid w:val="00EE21CB"/>
    <w:rsid w:val="00EE3C3D"/>
    <w:rsid w:val="00EE4A74"/>
    <w:rsid w:val="00EF1F9F"/>
    <w:rsid w:val="00EF4660"/>
    <w:rsid w:val="00EF7E8D"/>
    <w:rsid w:val="00F00888"/>
    <w:rsid w:val="00F04948"/>
    <w:rsid w:val="00F157C9"/>
    <w:rsid w:val="00F210D3"/>
    <w:rsid w:val="00F25AFC"/>
    <w:rsid w:val="00F25DF5"/>
    <w:rsid w:val="00F26D99"/>
    <w:rsid w:val="00F312D3"/>
    <w:rsid w:val="00F37923"/>
    <w:rsid w:val="00F5184C"/>
    <w:rsid w:val="00F51E92"/>
    <w:rsid w:val="00F55A72"/>
    <w:rsid w:val="00F573F8"/>
    <w:rsid w:val="00F61A46"/>
    <w:rsid w:val="00F678DE"/>
    <w:rsid w:val="00F7145D"/>
    <w:rsid w:val="00F72400"/>
    <w:rsid w:val="00F72DBA"/>
    <w:rsid w:val="00F73BAA"/>
    <w:rsid w:val="00F74900"/>
    <w:rsid w:val="00F7719B"/>
    <w:rsid w:val="00F848BB"/>
    <w:rsid w:val="00F85820"/>
    <w:rsid w:val="00F87EDC"/>
    <w:rsid w:val="00FA4C36"/>
    <w:rsid w:val="00FA6736"/>
    <w:rsid w:val="00FA71E1"/>
    <w:rsid w:val="00FA7D52"/>
    <w:rsid w:val="00FB4B25"/>
    <w:rsid w:val="00FB64AB"/>
    <w:rsid w:val="00FC1474"/>
    <w:rsid w:val="00FC3C78"/>
    <w:rsid w:val="00FD1062"/>
    <w:rsid w:val="00FD49AD"/>
    <w:rsid w:val="00FD6D07"/>
    <w:rsid w:val="00FE145D"/>
    <w:rsid w:val="00FE3ED7"/>
    <w:rsid w:val="00FE4A6E"/>
    <w:rsid w:val="00FF6A4A"/>
    <w:rsid w:val="00FF75F4"/>
    <w:rsid w:val="197B1F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3C17"/>
  <w15:chartTrackingRefBased/>
  <w15:docId w15:val="{DC1D2089-FB45-47D9-A29D-DC1D2EEA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E5"/>
    <w:pPr>
      <w:spacing w:before="60" w:after="0"/>
    </w:pPr>
    <w:rPr>
      <w:lang w:val="en-GB"/>
    </w:rPr>
  </w:style>
  <w:style w:type="paragraph" w:styleId="Titre1">
    <w:name w:val="heading 1"/>
    <w:basedOn w:val="Normal"/>
    <w:next w:val="Normal"/>
    <w:link w:val="Titre1Car"/>
    <w:uiPriority w:val="9"/>
    <w:qFormat/>
    <w:rsid w:val="00DF7368"/>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Titre2">
    <w:name w:val="heading 2"/>
    <w:basedOn w:val="Titre3"/>
    <w:next w:val="Normal"/>
    <w:link w:val="Titre2Car"/>
    <w:uiPriority w:val="9"/>
    <w:unhideWhenUsed/>
    <w:qFormat/>
    <w:rsid w:val="00DF08F0"/>
    <w:pPr>
      <w:numPr>
        <w:numId w:val="1"/>
      </w:numPr>
      <w:outlineLvl w:val="1"/>
    </w:pPr>
    <w:rPr>
      <w:lang w:val="en-GB"/>
    </w:rPr>
  </w:style>
  <w:style w:type="paragraph" w:styleId="Titre3">
    <w:name w:val="heading 3"/>
    <w:basedOn w:val="Paragraphedeliste"/>
    <w:next w:val="Normal"/>
    <w:link w:val="Titre3Car"/>
    <w:uiPriority w:val="9"/>
    <w:unhideWhenUsed/>
    <w:qFormat/>
    <w:rsid w:val="00842040"/>
    <w:pPr>
      <w:spacing w:before="240"/>
      <w:ind w:left="357" w:hanging="357"/>
      <w:contextualSpacing w:val="0"/>
      <w:outlineLvl w:val="2"/>
    </w:pPr>
    <w:rPr>
      <w:b/>
      <w:bCs/>
      <w:lang w:val="en-CA"/>
    </w:rPr>
  </w:style>
  <w:style w:type="paragraph" w:styleId="Titre4">
    <w:name w:val="heading 4"/>
    <w:basedOn w:val="Normal"/>
    <w:next w:val="Normal"/>
    <w:link w:val="Titre4Car"/>
    <w:uiPriority w:val="9"/>
    <w:unhideWhenUsed/>
    <w:qFormat/>
    <w:rsid w:val="00746147"/>
    <w:pPr>
      <w:keepNext/>
      <w:keepLines/>
      <w:spacing w:before="80" w:after="120"/>
      <w:outlineLvl w:val="3"/>
    </w:pPr>
    <w:rPr>
      <w:rFonts w:eastAsiaTheme="majorEastAsia" w:cstheme="majorBidi"/>
      <w:b/>
      <w:bCs/>
      <w:color w:val="800000"/>
      <w:u w:val="single"/>
      <w:lang w:val="en-US"/>
    </w:rPr>
  </w:style>
  <w:style w:type="paragraph" w:styleId="Titre5">
    <w:name w:val="heading 5"/>
    <w:basedOn w:val="Normal"/>
    <w:next w:val="Normal"/>
    <w:link w:val="Titre5Car"/>
    <w:uiPriority w:val="9"/>
    <w:unhideWhenUsed/>
    <w:qFormat/>
    <w:rsid w:val="0070353C"/>
    <w:pPr>
      <w:outlineLvl w:val="4"/>
    </w:pPr>
    <w:rPr>
      <w:b/>
      <w:bCs/>
      <w:color w:val="0070C0"/>
    </w:rPr>
  </w:style>
  <w:style w:type="paragraph" w:styleId="Titre6">
    <w:name w:val="heading 6"/>
    <w:basedOn w:val="Normal"/>
    <w:next w:val="Normal"/>
    <w:link w:val="Titre6Car"/>
    <w:uiPriority w:val="9"/>
    <w:semiHidden/>
    <w:unhideWhenUsed/>
    <w:qFormat/>
    <w:rsid w:val="000631E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31E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31E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31E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7368"/>
    <w:rPr>
      <w:rFonts w:asciiTheme="majorHAnsi" w:eastAsiaTheme="majorEastAsia" w:hAnsiTheme="majorHAnsi" w:cstheme="majorBidi"/>
      <w:color w:val="0F4761" w:themeColor="accent1" w:themeShade="BF"/>
      <w:sz w:val="36"/>
      <w:szCs w:val="36"/>
      <w:lang w:val="en-GB"/>
    </w:rPr>
  </w:style>
  <w:style w:type="character" w:customStyle="1" w:styleId="Titre2Car">
    <w:name w:val="Titre 2 Car"/>
    <w:basedOn w:val="Policepardfaut"/>
    <w:link w:val="Titre2"/>
    <w:uiPriority w:val="9"/>
    <w:rsid w:val="00DF08F0"/>
    <w:rPr>
      <w:b/>
      <w:bCs/>
      <w:lang w:val="en-GB"/>
    </w:rPr>
  </w:style>
  <w:style w:type="character" w:customStyle="1" w:styleId="Titre3Car">
    <w:name w:val="Titre 3 Car"/>
    <w:basedOn w:val="Policepardfaut"/>
    <w:link w:val="Titre3"/>
    <w:uiPriority w:val="9"/>
    <w:rsid w:val="00842040"/>
    <w:rPr>
      <w:b/>
      <w:bCs/>
    </w:rPr>
  </w:style>
  <w:style w:type="character" w:customStyle="1" w:styleId="Titre4Car">
    <w:name w:val="Titre 4 Car"/>
    <w:basedOn w:val="Policepardfaut"/>
    <w:link w:val="Titre4"/>
    <w:uiPriority w:val="9"/>
    <w:rsid w:val="00746147"/>
    <w:rPr>
      <w:rFonts w:eastAsiaTheme="majorEastAsia" w:cstheme="majorBidi"/>
      <w:b/>
      <w:bCs/>
      <w:color w:val="800000"/>
      <w:u w:val="single"/>
      <w:lang w:val="en-US"/>
    </w:rPr>
  </w:style>
  <w:style w:type="character" w:customStyle="1" w:styleId="Titre5Car">
    <w:name w:val="Titre 5 Car"/>
    <w:basedOn w:val="Policepardfaut"/>
    <w:link w:val="Titre5"/>
    <w:uiPriority w:val="9"/>
    <w:rsid w:val="0070353C"/>
    <w:rPr>
      <w:b/>
      <w:bCs/>
      <w:color w:val="0070C0"/>
      <w:lang w:val="en-GB"/>
    </w:rPr>
  </w:style>
  <w:style w:type="character" w:customStyle="1" w:styleId="Titre6Car">
    <w:name w:val="Titre 6 Car"/>
    <w:basedOn w:val="Policepardfaut"/>
    <w:link w:val="Titre6"/>
    <w:uiPriority w:val="9"/>
    <w:semiHidden/>
    <w:rsid w:val="000631E4"/>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631E4"/>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631E4"/>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631E4"/>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C4422D"/>
    <w:pPr>
      <w:spacing w:after="80" w:line="240" w:lineRule="auto"/>
      <w:contextualSpacing/>
    </w:pPr>
    <w:rPr>
      <w:rFonts w:asciiTheme="majorHAnsi" w:eastAsiaTheme="majorEastAsia" w:hAnsiTheme="majorHAnsi" w:cstheme="majorBidi"/>
      <w:color w:val="0070C0"/>
      <w:spacing w:val="-10"/>
      <w:kern w:val="28"/>
      <w:sz w:val="44"/>
      <w:szCs w:val="44"/>
    </w:rPr>
  </w:style>
  <w:style w:type="character" w:customStyle="1" w:styleId="TitreCar">
    <w:name w:val="Titre Car"/>
    <w:basedOn w:val="Policepardfaut"/>
    <w:link w:val="Titre"/>
    <w:uiPriority w:val="10"/>
    <w:rsid w:val="00C4422D"/>
    <w:rPr>
      <w:rFonts w:asciiTheme="majorHAnsi" w:eastAsiaTheme="majorEastAsia" w:hAnsiTheme="majorHAnsi" w:cstheme="majorBidi"/>
      <w:color w:val="0070C0"/>
      <w:spacing w:val="-10"/>
      <w:kern w:val="28"/>
      <w:sz w:val="44"/>
      <w:szCs w:val="44"/>
      <w:lang w:val="fr-FR"/>
    </w:rPr>
  </w:style>
  <w:style w:type="paragraph" w:styleId="Sous-titre">
    <w:name w:val="Subtitle"/>
    <w:basedOn w:val="Normal"/>
    <w:next w:val="Normal"/>
    <w:link w:val="Sous-titreCar"/>
    <w:uiPriority w:val="11"/>
    <w:qFormat/>
    <w:rsid w:val="000631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31E4"/>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631E4"/>
    <w:pPr>
      <w:spacing w:before="160"/>
      <w:jc w:val="center"/>
    </w:pPr>
    <w:rPr>
      <w:i/>
      <w:iCs/>
      <w:color w:val="404040" w:themeColor="text1" w:themeTint="BF"/>
    </w:rPr>
  </w:style>
  <w:style w:type="character" w:customStyle="1" w:styleId="CitationCar">
    <w:name w:val="Citation Car"/>
    <w:basedOn w:val="Policepardfaut"/>
    <w:link w:val="Citation"/>
    <w:uiPriority w:val="29"/>
    <w:rsid w:val="000631E4"/>
    <w:rPr>
      <w:i/>
      <w:iCs/>
      <w:color w:val="404040" w:themeColor="text1" w:themeTint="BF"/>
      <w:lang w:val="fr-FR"/>
    </w:rPr>
  </w:style>
  <w:style w:type="paragraph" w:styleId="Paragraphedeliste">
    <w:name w:val="List Paragraph"/>
    <w:basedOn w:val="Normal"/>
    <w:uiPriority w:val="34"/>
    <w:qFormat/>
    <w:rsid w:val="000631E4"/>
    <w:pPr>
      <w:ind w:left="720"/>
      <w:contextualSpacing/>
    </w:pPr>
  </w:style>
  <w:style w:type="character" w:styleId="Accentuationintense">
    <w:name w:val="Intense Emphasis"/>
    <w:basedOn w:val="Policepardfaut"/>
    <w:uiPriority w:val="21"/>
    <w:qFormat/>
    <w:rsid w:val="000631E4"/>
    <w:rPr>
      <w:i/>
      <w:iCs/>
      <w:color w:val="0F4761" w:themeColor="accent1" w:themeShade="BF"/>
    </w:rPr>
  </w:style>
  <w:style w:type="paragraph" w:styleId="Citationintense">
    <w:name w:val="Intense Quote"/>
    <w:basedOn w:val="Normal"/>
    <w:next w:val="Normal"/>
    <w:link w:val="CitationintenseCar"/>
    <w:uiPriority w:val="30"/>
    <w:qFormat/>
    <w:rsid w:val="00063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31E4"/>
    <w:rPr>
      <w:i/>
      <w:iCs/>
      <w:color w:val="0F4761" w:themeColor="accent1" w:themeShade="BF"/>
      <w:lang w:val="fr-FR"/>
    </w:rPr>
  </w:style>
  <w:style w:type="character" w:styleId="Rfrenceintense">
    <w:name w:val="Intense Reference"/>
    <w:basedOn w:val="Policepardfaut"/>
    <w:uiPriority w:val="32"/>
    <w:qFormat/>
    <w:rsid w:val="000631E4"/>
    <w:rPr>
      <w:b/>
      <w:bCs/>
      <w:smallCaps/>
      <w:color w:val="0F4761" w:themeColor="accent1" w:themeShade="BF"/>
      <w:spacing w:val="5"/>
    </w:rPr>
  </w:style>
  <w:style w:type="character" w:styleId="Lienhypertexte">
    <w:name w:val="Hyperlink"/>
    <w:basedOn w:val="Policepardfaut"/>
    <w:uiPriority w:val="99"/>
    <w:unhideWhenUsed/>
    <w:rsid w:val="00C4422D"/>
    <w:rPr>
      <w:color w:val="467886" w:themeColor="hyperlink"/>
      <w:u w:val="single"/>
    </w:rPr>
  </w:style>
  <w:style w:type="character" w:styleId="Mentionnonrsolue">
    <w:name w:val="Unresolved Mention"/>
    <w:basedOn w:val="Policepardfaut"/>
    <w:uiPriority w:val="99"/>
    <w:semiHidden/>
    <w:unhideWhenUsed/>
    <w:rsid w:val="00C4422D"/>
    <w:rPr>
      <w:color w:val="605E5C"/>
      <w:shd w:val="clear" w:color="auto" w:fill="E1DFDD"/>
    </w:rPr>
  </w:style>
  <w:style w:type="paragraph" w:styleId="En-tte">
    <w:name w:val="header"/>
    <w:basedOn w:val="Normal"/>
    <w:link w:val="En-tteCar"/>
    <w:uiPriority w:val="99"/>
    <w:unhideWhenUsed/>
    <w:rsid w:val="00346BAE"/>
    <w:pPr>
      <w:tabs>
        <w:tab w:val="center" w:pos="4703"/>
        <w:tab w:val="right" w:pos="9406"/>
      </w:tabs>
      <w:spacing w:line="240" w:lineRule="auto"/>
    </w:pPr>
  </w:style>
  <w:style w:type="character" w:customStyle="1" w:styleId="En-tteCar">
    <w:name w:val="En-tête Car"/>
    <w:basedOn w:val="Policepardfaut"/>
    <w:link w:val="En-tte"/>
    <w:uiPriority w:val="99"/>
    <w:rsid w:val="00346BAE"/>
    <w:rPr>
      <w:lang w:val="fr-FR"/>
    </w:rPr>
  </w:style>
  <w:style w:type="paragraph" w:styleId="Pieddepage">
    <w:name w:val="footer"/>
    <w:basedOn w:val="Normal"/>
    <w:link w:val="PieddepageCar"/>
    <w:uiPriority w:val="99"/>
    <w:unhideWhenUsed/>
    <w:rsid w:val="00346BAE"/>
    <w:pPr>
      <w:tabs>
        <w:tab w:val="center" w:pos="4703"/>
        <w:tab w:val="right" w:pos="9406"/>
      </w:tabs>
      <w:spacing w:line="240" w:lineRule="auto"/>
    </w:pPr>
  </w:style>
  <w:style w:type="character" w:customStyle="1" w:styleId="PieddepageCar">
    <w:name w:val="Pied de page Car"/>
    <w:basedOn w:val="Policepardfaut"/>
    <w:link w:val="Pieddepage"/>
    <w:uiPriority w:val="99"/>
    <w:rsid w:val="00346BAE"/>
    <w:rPr>
      <w:lang w:val="fr-FR"/>
    </w:rPr>
  </w:style>
  <w:style w:type="paragraph" w:styleId="NormalWeb">
    <w:name w:val="Normal (Web)"/>
    <w:basedOn w:val="Normal"/>
    <w:uiPriority w:val="99"/>
    <w:unhideWhenUsed/>
    <w:rsid w:val="009D64C4"/>
    <w:pPr>
      <w:spacing w:before="100" w:beforeAutospacing="1" w:after="100" w:afterAutospacing="1" w:line="240" w:lineRule="auto"/>
    </w:pPr>
    <w:rPr>
      <w:rFonts w:ascii="Aptos" w:hAnsi="Aptos" w:cs="Aptos"/>
      <w:sz w:val="24"/>
      <w:szCs w:val="24"/>
      <w:lang w:val="en-US"/>
      <w14:ligatures w14:val="none"/>
    </w:rPr>
  </w:style>
  <w:style w:type="paragraph" w:styleId="Corpsdetexte">
    <w:name w:val="Body Text"/>
    <w:basedOn w:val="Normal"/>
    <w:link w:val="CorpsdetexteCar"/>
    <w:uiPriority w:val="1"/>
    <w:unhideWhenUsed/>
    <w:qFormat/>
    <w:rsid w:val="00AA2E3C"/>
    <w:pPr>
      <w:widowControl w:val="0"/>
      <w:autoSpaceDE w:val="0"/>
      <w:autoSpaceDN w:val="0"/>
      <w:spacing w:before="160" w:line="240" w:lineRule="auto"/>
      <w:ind w:left="140"/>
    </w:pPr>
    <w:rPr>
      <w:rFonts w:ascii="Calibri" w:eastAsia="Calibri" w:hAnsi="Calibri" w:cs="Calibri"/>
      <w:lang w:val="en-US"/>
      <w14:ligatures w14:val="none"/>
    </w:rPr>
  </w:style>
  <w:style w:type="character" w:customStyle="1" w:styleId="CorpsdetexteCar">
    <w:name w:val="Corps de texte Car"/>
    <w:basedOn w:val="Policepardfaut"/>
    <w:link w:val="Corpsdetexte"/>
    <w:uiPriority w:val="1"/>
    <w:rsid w:val="00AA2E3C"/>
    <w:rPr>
      <w:rFonts w:ascii="Calibri" w:eastAsia="Calibri" w:hAnsi="Calibri" w:cs="Calibri"/>
      <w:lang w:val="en-US"/>
      <w14:ligatures w14:val="none"/>
    </w:rPr>
  </w:style>
  <w:style w:type="character" w:styleId="Lienhypertextesuivivisit">
    <w:name w:val="FollowedHyperlink"/>
    <w:basedOn w:val="Policepardfaut"/>
    <w:uiPriority w:val="99"/>
    <w:semiHidden/>
    <w:unhideWhenUsed/>
    <w:rsid w:val="000A379F"/>
    <w:rPr>
      <w:color w:val="96607D" w:themeColor="followedHyperlink"/>
      <w:u w:val="single"/>
    </w:rPr>
  </w:style>
  <w:style w:type="paragraph" w:styleId="Notedebasdepage">
    <w:name w:val="footnote text"/>
    <w:aliases w:val="single spacing,single space,FOOTNOTES,fn,ft,Footnote Text Char1,Footnote Text Char2 Char,Footnote Text Char1 Char Char,Footnote Text Char2 Char Char Char,Footnote Text Char1 Char Char Char Char,ALTS FOOTNOTE,f,DSE note,Char,Geneva 9"/>
    <w:basedOn w:val="Normal"/>
    <w:link w:val="NotedebasdepageCar"/>
    <w:uiPriority w:val="99"/>
    <w:unhideWhenUsed/>
    <w:qFormat/>
    <w:rsid w:val="000606B9"/>
    <w:pPr>
      <w:spacing w:line="240" w:lineRule="auto"/>
    </w:pPr>
    <w:rPr>
      <w:sz w:val="20"/>
      <w:szCs w:val="20"/>
    </w:rPr>
  </w:style>
  <w:style w:type="character" w:customStyle="1" w:styleId="NotedebasdepageCar">
    <w:name w:val="Note de bas de page Car"/>
    <w:aliases w:val="single spacing Car,single space Car,FOOTNOTES Car,fn Car,ft Car,Footnote Text Char1 Car,Footnote Text Char2 Char Car,Footnote Text Char1 Char Char Car,Footnote Text Char2 Char Char Char Car,ALTS FOOTNOTE Car,f Car,DSE note Car"/>
    <w:basedOn w:val="Policepardfaut"/>
    <w:link w:val="Notedebasdepage"/>
    <w:uiPriority w:val="99"/>
    <w:rsid w:val="000606B9"/>
    <w:rPr>
      <w:sz w:val="20"/>
      <w:szCs w:val="20"/>
      <w:lang w:val="fr-FR"/>
    </w:rPr>
  </w:style>
  <w:style w:type="character" w:styleId="Appelnotedebasdep">
    <w:name w:val="footnote reference"/>
    <w:aliases w:val="ftref,BVI fnr,Знак сноски 1,(NECG) Footnote Reference,16 Point,Superscript 6 Point,fr,Footnote + Arial,10 pt,Black,Fußnotenzeichen DISS,Superscript 6 Point + 11 pt,Footnote Ref in FtNote,FnR-ANZDEC,de nota al pie,Ref,SUPERS,4_G"/>
    <w:basedOn w:val="Policepardfaut"/>
    <w:link w:val="Char2"/>
    <w:uiPriority w:val="99"/>
    <w:unhideWhenUsed/>
    <w:qFormat/>
    <w:rsid w:val="000606B9"/>
    <w:rPr>
      <w:vertAlign w:val="superscript"/>
    </w:rPr>
  </w:style>
  <w:style w:type="character" w:styleId="lev">
    <w:name w:val="Strong"/>
    <w:basedOn w:val="Policepardfaut"/>
    <w:uiPriority w:val="22"/>
    <w:qFormat/>
    <w:rsid w:val="00FD49AD"/>
    <w:rPr>
      <w:b/>
      <w:bCs/>
    </w:rPr>
  </w:style>
  <w:style w:type="table" w:styleId="Grilledutableau">
    <w:name w:val="Table Grid"/>
    <w:basedOn w:val="TableauNormal"/>
    <w:uiPriority w:val="39"/>
    <w:rsid w:val="00AD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qFormat/>
    <w:rsid w:val="0062403D"/>
    <w:pPr>
      <w:tabs>
        <w:tab w:val="left" w:pos="1701"/>
        <w:tab w:val="left" w:pos="2268"/>
        <w:tab w:val="left" w:pos="2835"/>
      </w:tabs>
      <w:suppressAutoHyphens/>
      <w:kinsoku w:val="0"/>
      <w:overflowPunct w:val="0"/>
      <w:autoSpaceDE w:val="0"/>
      <w:autoSpaceDN w:val="0"/>
      <w:adjustRightInd w:val="0"/>
      <w:snapToGrid w:val="0"/>
      <w:spacing w:before="0" w:after="120" w:line="240" w:lineRule="atLeast"/>
      <w:ind w:left="1134" w:right="1134"/>
      <w:jc w:val="both"/>
    </w:pPr>
    <w:rPr>
      <w:rFonts w:ascii="Times New Roman" w:hAnsi="Times New Roman" w:cs="Times New Roman"/>
      <w:sz w:val="20"/>
      <w:szCs w:val="20"/>
      <w:lang w:val="fr-CH"/>
      <w14:ligatures w14:val="none"/>
    </w:rPr>
  </w:style>
  <w:style w:type="character" w:customStyle="1" w:styleId="SingleTxtGChar">
    <w:name w:val="_ Single Txt_G Char"/>
    <w:link w:val="SingleTxtG"/>
    <w:locked/>
    <w:rsid w:val="0062403D"/>
    <w:rPr>
      <w:rFonts w:ascii="Times New Roman" w:hAnsi="Times New Roman" w:cs="Times New Roman"/>
      <w:sz w:val="20"/>
      <w:szCs w:val="20"/>
      <w:lang w:val="fr-CH"/>
      <w14:ligatures w14:val="none"/>
    </w:rPr>
  </w:style>
  <w:style w:type="paragraph" w:customStyle="1" w:styleId="SingleTxt">
    <w:name w:val="__Single Txt"/>
    <w:basedOn w:val="Normal"/>
    <w:qFormat/>
    <w:rsid w:val="0035745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after="120" w:line="240" w:lineRule="atLeast"/>
      <w:ind w:left="1267" w:right="1267"/>
      <w:jc w:val="both"/>
    </w:pPr>
    <w:rPr>
      <w:rFonts w:ascii="Times New Roman" w:hAnsi="Times New Roman" w:cs="Times New Roman"/>
      <w:spacing w:val="4"/>
      <w:w w:val="103"/>
      <w:kern w:val="14"/>
      <w:sz w:val="20"/>
      <w:lang w:val="fr-CA"/>
      <w14:ligatures w14:val="none"/>
    </w:rPr>
  </w:style>
  <w:style w:type="paragraph" w:styleId="Sansinterligne">
    <w:name w:val="No Spacing"/>
    <w:uiPriority w:val="1"/>
    <w:qFormat/>
    <w:rsid w:val="00357451"/>
    <w:pPr>
      <w:spacing w:after="0" w:line="240" w:lineRule="auto"/>
    </w:pPr>
    <w:rPr>
      <w:lang w:val="fr-FR"/>
    </w:rPr>
  </w:style>
  <w:style w:type="paragraph" w:customStyle="1" w:styleId="H23">
    <w:name w:val="_ H_2/3"/>
    <w:basedOn w:val="Normal"/>
    <w:next w:val="SingleTxt"/>
    <w:qFormat/>
    <w:rsid w:val="0034063B"/>
    <w:pPr>
      <w:keepNext/>
      <w:keepLines/>
      <w:suppressAutoHyphens/>
      <w:spacing w:before="0" w:line="240" w:lineRule="exact"/>
      <w:outlineLvl w:val="1"/>
    </w:pPr>
    <w:rPr>
      <w:rFonts w:ascii="Times New Roman" w:hAnsi="Times New Roman" w:cs="Times New Roman"/>
      <w:b/>
      <w:spacing w:val="2"/>
      <w:w w:val="103"/>
      <w:kern w:val="14"/>
      <w:sz w:val="20"/>
      <w:lang w:val="fr-CA"/>
      <w14:ligatures w14:val="none"/>
    </w:rPr>
  </w:style>
  <w:style w:type="paragraph" w:customStyle="1" w:styleId="Char2">
    <w:name w:val="Char2"/>
    <w:basedOn w:val="Normal"/>
    <w:link w:val="Appelnotedebasdep"/>
    <w:uiPriority w:val="99"/>
    <w:rsid w:val="00E22391"/>
    <w:pPr>
      <w:spacing w:before="0" w:after="160" w:line="240" w:lineRule="exact"/>
      <w:jc w:val="both"/>
    </w:pPr>
    <w:rPr>
      <w:vertAlign w:val="superscript"/>
      <w:lang w:val="en-CA"/>
    </w:rPr>
  </w:style>
  <w:style w:type="character" w:styleId="Marquedecommentaire">
    <w:name w:val="annotation reference"/>
    <w:basedOn w:val="Policepardfaut"/>
    <w:uiPriority w:val="99"/>
    <w:semiHidden/>
    <w:unhideWhenUsed/>
    <w:rsid w:val="00E22391"/>
    <w:rPr>
      <w:sz w:val="16"/>
      <w:szCs w:val="16"/>
    </w:rPr>
  </w:style>
  <w:style w:type="paragraph" w:styleId="Commentaire">
    <w:name w:val="annotation text"/>
    <w:basedOn w:val="Normal"/>
    <w:link w:val="CommentaireCar"/>
    <w:uiPriority w:val="99"/>
    <w:unhideWhenUsed/>
    <w:rsid w:val="00E22391"/>
    <w:pPr>
      <w:spacing w:before="0" w:after="160" w:line="240" w:lineRule="auto"/>
    </w:pPr>
    <w:rPr>
      <w:rFonts w:ascii="Arial" w:eastAsia="Arial" w:hAnsi="Arial" w:cs="Arial"/>
      <w:sz w:val="20"/>
      <w:szCs w:val="20"/>
      <w:lang w:eastAsia="en-GB"/>
      <w14:ligatures w14:val="none"/>
    </w:rPr>
  </w:style>
  <w:style w:type="character" w:customStyle="1" w:styleId="CommentaireCar">
    <w:name w:val="Commentaire Car"/>
    <w:basedOn w:val="Policepardfaut"/>
    <w:link w:val="Commentaire"/>
    <w:uiPriority w:val="99"/>
    <w:rsid w:val="00E22391"/>
    <w:rPr>
      <w:rFonts w:ascii="Arial" w:eastAsia="Arial" w:hAnsi="Arial" w:cs="Arial"/>
      <w:sz w:val="20"/>
      <w:szCs w:val="20"/>
      <w:lang w:val="en-GB" w:eastAsia="en-GB"/>
      <w14:ligatures w14:val="none"/>
    </w:rPr>
  </w:style>
  <w:style w:type="character" w:styleId="Accentuationlgre">
    <w:name w:val="Subtle Emphasis"/>
    <w:basedOn w:val="Policepardfaut"/>
    <w:uiPriority w:val="19"/>
    <w:qFormat/>
    <w:rsid w:val="00081222"/>
    <w:rPr>
      <w:i/>
      <w:iCs/>
      <w:color w:val="404040" w:themeColor="text1" w:themeTint="BF"/>
    </w:rPr>
  </w:style>
  <w:style w:type="paragraph" w:customStyle="1" w:styleId="HIcorpstexte">
    <w:name w:val="HI corps texte"/>
    <w:basedOn w:val="Normal"/>
    <w:link w:val="HIcorpstexteCar"/>
    <w:qFormat/>
    <w:rsid w:val="00AA7A97"/>
    <w:pPr>
      <w:spacing w:before="0" w:after="264"/>
    </w:pPr>
    <w:rPr>
      <w:rFonts w:ascii="Nunito" w:hAnsi="Nunito"/>
      <w:sz w:val="24"/>
    </w:rPr>
  </w:style>
  <w:style w:type="character" w:customStyle="1" w:styleId="HIcorpstexteCar">
    <w:name w:val="HI corps texte Car"/>
    <w:basedOn w:val="Policepardfaut"/>
    <w:link w:val="HIcorpstexte"/>
    <w:rsid w:val="00AA7A97"/>
    <w:rPr>
      <w:rFonts w:ascii="Nunito" w:hAnsi="Nunit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474">
      <w:bodyDiv w:val="1"/>
      <w:marLeft w:val="0"/>
      <w:marRight w:val="0"/>
      <w:marTop w:val="0"/>
      <w:marBottom w:val="0"/>
      <w:divBdr>
        <w:top w:val="none" w:sz="0" w:space="0" w:color="auto"/>
        <w:left w:val="none" w:sz="0" w:space="0" w:color="auto"/>
        <w:bottom w:val="none" w:sz="0" w:space="0" w:color="auto"/>
        <w:right w:val="none" w:sz="0" w:space="0" w:color="auto"/>
      </w:divBdr>
    </w:div>
    <w:div w:id="15810523">
      <w:bodyDiv w:val="1"/>
      <w:marLeft w:val="0"/>
      <w:marRight w:val="0"/>
      <w:marTop w:val="0"/>
      <w:marBottom w:val="0"/>
      <w:divBdr>
        <w:top w:val="none" w:sz="0" w:space="0" w:color="auto"/>
        <w:left w:val="none" w:sz="0" w:space="0" w:color="auto"/>
        <w:bottom w:val="none" w:sz="0" w:space="0" w:color="auto"/>
        <w:right w:val="none" w:sz="0" w:space="0" w:color="auto"/>
      </w:divBdr>
    </w:div>
    <w:div w:id="22172252">
      <w:bodyDiv w:val="1"/>
      <w:marLeft w:val="0"/>
      <w:marRight w:val="0"/>
      <w:marTop w:val="0"/>
      <w:marBottom w:val="0"/>
      <w:divBdr>
        <w:top w:val="none" w:sz="0" w:space="0" w:color="auto"/>
        <w:left w:val="none" w:sz="0" w:space="0" w:color="auto"/>
        <w:bottom w:val="none" w:sz="0" w:space="0" w:color="auto"/>
        <w:right w:val="none" w:sz="0" w:space="0" w:color="auto"/>
      </w:divBdr>
    </w:div>
    <w:div w:id="42170941">
      <w:bodyDiv w:val="1"/>
      <w:marLeft w:val="0"/>
      <w:marRight w:val="0"/>
      <w:marTop w:val="0"/>
      <w:marBottom w:val="0"/>
      <w:divBdr>
        <w:top w:val="none" w:sz="0" w:space="0" w:color="auto"/>
        <w:left w:val="none" w:sz="0" w:space="0" w:color="auto"/>
        <w:bottom w:val="none" w:sz="0" w:space="0" w:color="auto"/>
        <w:right w:val="none" w:sz="0" w:space="0" w:color="auto"/>
      </w:divBdr>
    </w:div>
    <w:div w:id="67466649">
      <w:bodyDiv w:val="1"/>
      <w:marLeft w:val="0"/>
      <w:marRight w:val="0"/>
      <w:marTop w:val="0"/>
      <w:marBottom w:val="0"/>
      <w:divBdr>
        <w:top w:val="none" w:sz="0" w:space="0" w:color="auto"/>
        <w:left w:val="none" w:sz="0" w:space="0" w:color="auto"/>
        <w:bottom w:val="none" w:sz="0" w:space="0" w:color="auto"/>
        <w:right w:val="none" w:sz="0" w:space="0" w:color="auto"/>
      </w:divBdr>
    </w:div>
    <w:div w:id="111705486">
      <w:bodyDiv w:val="1"/>
      <w:marLeft w:val="0"/>
      <w:marRight w:val="0"/>
      <w:marTop w:val="0"/>
      <w:marBottom w:val="0"/>
      <w:divBdr>
        <w:top w:val="none" w:sz="0" w:space="0" w:color="auto"/>
        <w:left w:val="none" w:sz="0" w:space="0" w:color="auto"/>
        <w:bottom w:val="none" w:sz="0" w:space="0" w:color="auto"/>
        <w:right w:val="none" w:sz="0" w:space="0" w:color="auto"/>
      </w:divBdr>
    </w:div>
    <w:div w:id="164516699">
      <w:bodyDiv w:val="1"/>
      <w:marLeft w:val="0"/>
      <w:marRight w:val="0"/>
      <w:marTop w:val="0"/>
      <w:marBottom w:val="0"/>
      <w:divBdr>
        <w:top w:val="none" w:sz="0" w:space="0" w:color="auto"/>
        <w:left w:val="none" w:sz="0" w:space="0" w:color="auto"/>
        <w:bottom w:val="none" w:sz="0" w:space="0" w:color="auto"/>
        <w:right w:val="none" w:sz="0" w:space="0" w:color="auto"/>
      </w:divBdr>
    </w:div>
    <w:div w:id="209614028">
      <w:bodyDiv w:val="1"/>
      <w:marLeft w:val="0"/>
      <w:marRight w:val="0"/>
      <w:marTop w:val="0"/>
      <w:marBottom w:val="0"/>
      <w:divBdr>
        <w:top w:val="none" w:sz="0" w:space="0" w:color="auto"/>
        <w:left w:val="none" w:sz="0" w:space="0" w:color="auto"/>
        <w:bottom w:val="none" w:sz="0" w:space="0" w:color="auto"/>
        <w:right w:val="none" w:sz="0" w:space="0" w:color="auto"/>
      </w:divBdr>
    </w:div>
    <w:div w:id="228735882">
      <w:bodyDiv w:val="1"/>
      <w:marLeft w:val="0"/>
      <w:marRight w:val="0"/>
      <w:marTop w:val="0"/>
      <w:marBottom w:val="0"/>
      <w:divBdr>
        <w:top w:val="none" w:sz="0" w:space="0" w:color="auto"/>
        <w:left w:val="none" w:sz="0" w:space="0" w:color="auto"/>
        <w:bottom w:val="none" w:sz="0" w:space="0" w:color="auto"/>
        <w:right w:val="none" w:sz="0" w:space="0" w:color="auto"/>
      </w:divBdr>
    </w:div>
    <w:div w:id="231933091">
      <w:bodyDiv w:val="1"/>
      <w:marLeft w:val="0"/>
      <w:marRight w:val="0"/>
      <w:marTop w:val="0"/>
      <w:marBottom w:val="0"/>
      <w:divBdr>
        <w:top w:val="none" w:sz="0" w:space="0" w:color="auto"/>
        <w:left w:val="none" w:sz="0" w:space="0" w:color="auto"/>
        <w:bottom w:val="none" w:sz="0" w:space="0" w:color="auto"/>
        <w:right w:val="none" w:sz="0" w:space="0" w:color="auto"/>
      </w:divBdr>
    </w:div>
    <w:div w:id="235093266">
      <w:bodyDiv w:val="1"/>
      <w:marLeft w:val="0"/>
      <w:marRight w:val="0"/>
      <w:marTop w:val="0"/>
      <w:marBottom w:val="0"/>
      <w:divBdr>
        <w:top w:val="none" w:sz="0" w:space="0" w:color="auto"/>
        <w:left w:val="none" w:sz="0" w:space="0" w:color="auto"/>
        <w:bottom w:val="none" w:sz="0" w:space="0" w:color="auto"/>
        <w:right w:val="none" w:sz="0" w:space="0" w:color="auto"/>
      </w:divBdr>
    </w:div>
    <w:div w:id="288123894">
      <w:bodyDiv w:val="1"/>
      <w:marLeft w:val="0"/>
      <w:marRight w:val="0"/>
      <w:marTop w:val="0"/>
      <w:marBottom w:val="0"/>
      <w:divBdr>
        <w:top w:val="none" w:sz="0" w:space="0" w:color="auto"/>
        <w:left w:val="none" w:sz="0" w:space="0" w:color="auto"/>
        <w:bottom w:val="none" w:sz="0" w:space="0" w:color="auto"/>
        <w:right w:val="none" w:sz="0" w:space="0" w:color="auto"/>
      </w:divBdr>
    </w:div>
    <w:div w:id="293675616">
      <w:bodyDiv w:val="1"/>
      <w:marLeft w:val="0"/>
      <w:marRight w:val="0"/>
      <w:marTop w:val="0"/>
      <w:marBottom w:val="0"/>
      <w:divBdr>
        <w:top w:val="none" w:sz="0" w:space="0" w:color="auto"/>
        <w:left w:val="none" w:sz="0" w:space="0" w:color="auto"/>
        <w:bottom w:val="none" w:sz="0" w:space="0" w:color="auto"/>
        <w:right w:val="none" w:sz="0" w:space="0" w:color="auto"/>
      </w:divBdr>
    </w:div>
    <w:div w:id="308825725">
      <w:bodyDiv w:val="1"/>
      <w:marLeft w:val="0"/>
      <w:marRight w:val="0"/>
      <w:marTop w:val="0"/>
      <w:marBottom w:val="0"/>
      <w:divBdr>
        <w:top w:val="none" w:sz="0" w:space="0" w:color="auto"/>
        <w:left w:val="none" w:sz="0" w:space="0" w:color="auto"/>
        <w:bottom w:val="none" w:sz="0" w:space="0" w:color="auto"/>
        <w:right w:val="none" w:sz="0" w:space="0" w:color="auto"/>
      </w:divBdr>
    </w:div>
    <w:div w:id="312488273">
      <w:bodyDiv w:val="1"/>
      <w:marLeft w:val="0"/>
      <w:marRight w:val="0"/>
      <w:marTop w:val="0"/>
      <w:marBottom w:val="0"/>
      <w:divBdr>
        <w:top w:val="none" w:sz="0" w:space="0" w:color="auto"/>
        <w:left w:val="none" w:sz="0" w:space="0" w:color="auto"/>
        <w:bottom w:val="none" w:sz="0" w:space="0" w:color="auto"/>
        <w:right w:val="none" w:sz="0" w:space="0" w:color="auto"/>
      </w:divBdr>
    </w:div>
    <w:div w:id="322397758">
      <w:bodyDiv w:val="1"/>
      <w:marLeft w:val="0"/>
      <w:marRight w:val="0"/>
      <w:marTop w:val="0"/>
      <w:marBottom w:val="0"/>
      <w:divBdr>
        <w:top w:val="none" w:sz="0" w:space="0" w:color="auto"/>
        <w:left w:val="none" w:sz="0" w:space="0" w:color="auto"/>
        <w:bottom w:val="none" w:sz="0" w:space="0" w:color="auto"/>
        <w:right w:val="none" w:sz="0" w:space="0" w:color="auto"/>
      </w:divBdr>
    </w:div>
    <w:div w:id="343561057">
      <w:bodyDiv w:val="1"/>
      <w:marLeft w:val="0"/>
      <w:marRight w:val="0"/>
      <w:marTop w:val="0"/>
      <w:marBottom w:val="0"/>
      <w:divBdr>
        <w:top w:val="none" w:sz="0" w:space="0" w:color="auto"/>
        <w:left w:val="none" w:sz="0" w:space="0" w:color="auto"/>
        <w:bottom w:val="none" w:sz="0" w:space="0" w:color="auto"/>
        <w:right w:val="none" w:sz="0" w:space="0" w:color="auto"/>
      </w:divBdr>
      <w:divsChild>
        <w:div w:id="141951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290533">
      <w:bodyDiv w:val="1"/>
      <w:marLeft w:val="0"/>
      <w:marRight w:val="0"/>
      <w:marTop w:val="0"/>
      <w:marBottom w:val="0"/>
      <w:divBdr>
        <w:top w:val="none" w:sz="0" w:space="0" w:color="auto"/>
        <w:left w:val="none" w:sz="0" w:space="0" w:color="auto"/>
        <w:bottom w:val="none" w:sz="0" w:space="0" w:color="auto"/>
        <w:right w:val="none" w:sz="0" w:space="0" w:color="auto"/>
      </w:divBdr>
    </w:div>
    <w:div w:id="347757428">
      <w:bodyDiv w:val="1"/>
      <w:marLeft w:val="0"/>
      <w:marRight w:val="0"/>
      <w:marTop w:val="0"/>
      <w:marBottom w:val="0"/>
      <w:divBdr>
        <w:top w:val="none" w:sz="0" w:space="0" w:color="auto"/>
        <w:left w:val="none" w:sz="0" w:space="0" w:color="auto"/>
        <w:bottom w:val="none" w:sz="0" w:space="0" w:color="auto"/>
        <w:right w:val="none" w:sz="0" w:space="0" w:color="auto"/>
      </w:divBdr>
    </w:div>
    <w:div w:id="353649308">
      <w:bodyDiv w:val="1"/>
      <w:marLeft w:val="0"/>
      <w:marRight w:val="0"/>
      <w:marTop w:val="0"/>
      <w:marBottom w:val="0"/>
      <w:divBdr>
        <w:top w:val="none" w:sz="0" w:space="0" w:color="auto"/>
        <w:left w:val="none" w:sz="0" w:space="0" w:color="auto"/>
        <w:bottom w:val="none" w:sz="0" w:space="0" w:color="auto"/>
        <w:right w:val="none" w:sz="0" w:space="0" w:color="auto"/>
      </w:divBdr>
    </w:div>
    <w:div w:id="354580936">
      <w:bodyDiv w:val="1"/>
      <w:marLeft w:val="0"/>
      <w:marRight w:val="0"/>
      <w:marTop w:val="0"/>
      <w:marBottom w:val="0"/>
      <w:divBdr>
        <w:top w:val="none" w:sz="0" w:space="0" w:color="auto"/>
        <w:left w:val="none" w:sz="0" w:space="0" w:color="auto"/>
        <w:bottom w:val="none" w:sz="0" w:space="0" w:color="auto"/>
        <w:right w:val="none" w:sz="0" w:space="0" w:color="auto"/>
      </w:divBdr>
    </w:div>
    <w:div w:id="398021343">
      <w:bodyDiv w:val="1"/>
      <w:marLeft w:val="0"/>
      <w:marRight w:val="0"/>
      <w:marTop w:val="0"/>
      <w:marBottom w:val="0"/>
      <w:divBdr>
        <w:top w:val="none" w:sz="0" w:space="0" w:color="auto"/>
        <w:left w:val="none" w:sz="0" w:space="0" w:color="auto"/>
        <w:bottom w:val="none" w:sz="0" w:space="0" w:color="auto"/>
        <w:right w:val="none" w:sz="0" w:space="0" w:color="auto"/>
      </w:divBdr>
    </w:div>
    <w:div w:id="418020380">
      <w:bodyDiv w:val="1"/>
      <w:marLeft w:val="0"/>
      <w:marRight w:val="0"/>
      <w:marTop w:val="0"/>
      <w:marBottom w:val="0"/>
      <w:divBdr>
        <w:top w:val="none" w:sz="0" w:space="0" w:color="auto"/>
        <w:left w:val="none" w:sz="0" w:space="0" w:color="auto"/>
        <w:bottom w:val="none" w:sz="0" w:space="0" w:color="auto"/>
        <w:right w:val="none" w:sz="0" w:space="0" w:color="auto"/>
      </w:divBdr>
    </w:div>
    <w:div w:id="459538476">
      <w:bodyDiv w:val="1"/>
      <w:marLeft w:val="0"/>
      <w:marRight w:val="0"/>
      <w:marTop w:val="0"/>
      <w:marBottom w:val="0"/>
      <w:divBdr>
        <w:top w:val="none" w:sz="0" w:space="0" w:color="auto"/>
        <w:left w:val="none" w:sz="0" w:space="0" w:color="auto"/>
        <w:bottom w:val="none" w:sz="0" w:space="0" w:color="auto"/>
        <w:right w:val="none" w:sz="0" w:space="0" w:color="auto"/>
      </w:divBdr>
      <w:divsChild>
        <w:div w:id="1999074630">
          <w:marLeft w:val="0"/>
          <w:marRight w:val="0"/>
          <w:marTop w:val="0"/>
          <w:marBottom w:val="0"/>
          <w:divBdr>
            <w:top w:val="none" w:sz="0" w:space="0" w:color="auto"/>
            <w:left w:val="none" w:sz="0" w:space="0" w:color="auto"/>
            <w:bottom w:val="none" w:sz="0" w:space="0" w:color="auto"/>
            <w:right w:val="none" w:sz="0" w:space="0" w:color="auto"/>
          </w:divBdr>
          <w:divsChild>
            <w:div w:id="438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7068">
      <w:bodyDiv w:val="1"/>
      <w:marLeft w:val="0"/>
      <w:marRight w:val="0"/>
      <w:marTop w:val="0"/>
      <w:marBottom w:val="0"/>
      <w:divBdr>
        <w:top w:val="none" w:sz="0" w:space="0" w:color="auto"/>
        <w:left w:val="none" w:sz="0" w:space="0" w:color="auto"/>
        <w:bottom w:val="none" w:sz="0" w:space="0" w:color="auto"/>
        <w:right w:val="none" w:sz="0" w:space="0" w:color="auto"/>
      </w:divBdr>
    </w:div>
    <w:div w:id="506135668">
      <w:bodyDiv w:val="1"/>
      <w:marLeft w:val="0"/>
      <w:marRight w:val="0"/>
      <w:marTop w:val="0"/>
      <w:marBottom w:val="0"/>
      <w:divBdr>
        <w:top w:val="none" w:sz="0" w:space="0" w:color="auto"/>
        <w:left w:val="none" w:sz="0" w:space="0" w:color="auto"/>
        <w:bottom w:val="none" w:sz="0" w:space="0" w:color="auto"/>
        <w:right w:val="none" w:sz="0" w:space="0" w:color="auto"/>
      </w:divBdr>
      <w:divsChild>
        <w:div w:id="493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549219">
      <w:bodyDiv w:val="1"/>
      <w:marLeft w:val="0"/>
      <w:marRight w:val="0"/>
      <w:marTop w:val="0"/>
      <w:marBottom w:val="0"/>
      <w:divBdr>
        <w:top w:val="none" w:sz="0" w:space="0" w:color="auto"/>
        <w:left w:val="none" w:sz="0" w:space="0" w:color="auto"/>
        <w:bottom w:val="none" w:sz="0" w:space="0" w:color="auto"/>
        <w:right w:val="none" w:sz="0" w:space="0" w:color="auto"/>
      </w:divBdr>
    </w:div>
    <w:div w:id="598566405">
      <w:bodyDiv w:val="1"/>
      <w:marLeft w:val="0"/>
      <w:marRight w:val="0"/>
      <w:marTop w:val="0"/>
      <w:marBottom w:val="0"/>
      <w:divBdr>
        <w:top w:val="none" w:sz="0" w:space="0" w:color="auto"/>
        <w:left w:val="none" w:sz="0" w:space="0" w:color="auto"/>
        <w:bottom w:val="none" w:sz="0" w:space="0" w:color="auto"/>
        <w:right w:val="none" w:sz="0" w:space="0" w:color="auto"/>
      </w:divBdr>
    </w:div>
    <w:div w:id="627901370">
      <w:bodyDiv w:val="1"/>
      <w:marLeft w:val="0"/>
      <w:marRight w:val="0"/>
      <w:marTop w:val="0"/>
      <w:marBottom w:val="0"/>
      <w:divBdr>
        <w:top w:val="none" w:sz="0" w:space="0" w:color="auto"/>
        <w:left w:val="none" w:sz="0" w:space="0" w:color="auto"/>
        <w:bottom w:val="none" w:sz="0" w:space="0" w:color="auto"/>
        <w:right w:val="none" w:sz="0" w:space="0" w:color="auto"/>
      </w:divBdr>
    </w:div>
    <w:div w:id="670332347">
      <w:bodyDiv w:val="1"/>
      <w:marLeft w:val="0"/>
      <w:marRight w:val="0"/>
      <w:marTop w:val="0"/>
      <w:marBottom w:val="0"/>
      <w:divBdr>
        <w:top w:val="none" w:sz="0" w:space="0" w:color="auto"/>
        <w:left w:val="none" w:sz="0" w:space="0" w:color="auto"/>
        <w:bottom w:val="none" w:sz="0" w:space="0" w:color="auto"/>
        <w:right w:val="none" w:sz="0" w:space="0" w:color="auto"/>
      </w:divBdr>
    </w:div>
    <w:div w:id="694160304">
      <w:bodyDiv w:val="1"/>
      <w:marLeft w:val="0"/>
      <w:marRight w:val="0"/>
      <w:marTop w:val="0"/>
      <w:marBottom w:val="0"/>
      <w:divBdr>
        <w:top w:val="none" w:sz="0" w:space="0" w:color="auto"/>
        <w:left w:val="none" w:sz="0" w:space="0" w:color="auto"/>
        <w:bottom w:val="none" w:sz="0" w:space="0" w:color="auto"/>
        <w:right w:val="none" w:sz="0" w:space="0" w:color="auto"/>
      </w:divBdr>
    </w:div>
    <w:div w:id="705568800">
      <w:bodyDiv w:val="1"/>
      <w:marLeft w:val="0"/>
      <w:marRight w:val="0"/>
      <w:marTop w:val="0"/>
      <w:marBottom w:val="0"/>
      <w:divBdr>
        <w:top w:val="none" w:sz="0" w:space="0" w:color="auto"/>
        <w:left w:val="none" w:sz="0" w:space="0" w:color="auto"/>
        <w:bottom w:val="none" w:sz="0" w:space="0" w:color="auto"/>
        <w:right w:val="none" w:sz="0" w:space="0" w:color="auto"/>
      </w:divBdr>
    </w:div>
    <w:div w:id="741370025">
      <w:bodyDiv w:val="1"/>
      <w:marLeft w:val="0"/>
      <w:marRight w:val="0"/>
      <w:marTop w:val="0"/>
      <w:marBottom w:val="0"/>
      <w:divBdr>
        <w:top w:val="none" w:sz="0" w:space="0" w:color="auto"/>
        <w:left w:val="none" w:sz="0" w:space="0" w:color="auto"/>
        <w:bottom w:val="none" w:sz="0" w:space="0" w:color="auto"/>
        <w:right w:val="none" w:sz="0" w:space="0" w:color="auto"/>
      </w:divBdr>
    </w:div>
    <w:div w:id="797920534">
      <w:bodyDiv w:val="1"/>
      <w:marLeft w:val="0"/>
      <w:marRight w:val="0"/>
      <w:marTop w:val="0"/>
      <w:marBottom w:val="0"/>
      <w:divBdr>
        <w:top w:val="none" w:sz="0" w:space="0" w:color="auto"/>
        <w:left w:val="none" w:sz="0" w:space="0" w:color="auto"/>
        <w:bottom w:val="none" w:sz="0" w:space="0" w:color="auto"/>
        <w:right w:val="none" w:sz="0" w:space="0" w:color="auto"/>
      </w:divBdr>
    </w:div>
    <w:div w:id="851333533">
      <w:bodyDiv w:val="1"/>
      <w:marLeft w:val="0"/>
      <w:marRight w:val="0"/>
      <w:marTop w:val="0"/>
      <w:marBottom w:val="0"/>
      <w:divBdr>
        <w:top w:val="none" w:sz="0" w:space="0" w:color="auto"/>
        <w:left w:val="none" w:sz="0" w:space="0" w:color="auto"/>
        <w:bottom w:val="none" w:sz="0" w:space="0" w:color="auto"/>
        <w:right w:val="none" w:sz="0" w:space="0" w:color="auto"/>
      </w:divBdr>
    </w:div>
    <w:div w:id="865168718">
      <w:bodyDiv w:val="1"/>
      <w:marLeft w:val="0"/>
      <w:marRight w:val="0"/>
      <w:marTop w:val="0"/>
      <w:marBottom w:val="0"/>
      <w:divBdr>
        <w:top w:val="none" w:sz="0" w:space="0" w:color="auto"/>
        <w:left w:val="none" w:sz="0" w:space="0" w:color="auto"/>
        <w:bottom w:val="none" w:sz="0" w:space="0" w:color="auto"/>
        <w:right w:val="none" w:sz="0" w:space="0" w:color="auto"/>
      </w:divBdr>
    </w:div>
    <w:div w:id="870454013">
      <w:bodyDiv w:val="1"/>
      <w:marLeft w:val="0"/>
      <w:marRight w:val="0"/>
      <w:marTop w:val="0"/>
      <w:marBottom w:val="0"/>
      <w:divBdr>
        <w:top w:val="none" w:sz="0" w:space="0" w:color="auto"/>
        <w:left w:val="none" w:sz="0" w:space="0" w:color="auto"/>
        <w:bottom w:val="none" w:sz="0" w:space="0" w:color="auto"/>
        <w:right w:val="none" w:sz="0" w:space="0" w:color="auto"/>
      </w:divBdr>
    </w:div>
    <w:div w:id="882063433">
      <w:bodyDiv w:val="1"/>
      <w:marLeft w:val="0"/>
      <w:marRight w:val="0"/>
      <w:marTop w:val="0"/>
      <w:marBottom w:val="0"/>
      <w:divBdr>
        <w:top w:val="none" w:sz="0" w:space="0" w:color="auto"/>
        <w:left w:val="none" w:sz="0" w:space="0" w:color="auto"/>
        <w:bottom w:val="none" w:sz="0" w:space="0" w:color="auto"/>
        <w:right w:val="none" w:sz="0" w:space="0" w:color="auto"/>
      </w:divBdr>
    </w:div>
    <w:div w:id="887837892">
      <w:bodyDiv w:val="1"/>
      <w:marLeft w:val="0"/>
      <w:marRight w:val="0"/>
      <w:marTop w:val="0"/>
      <w:marBottom w:val="0"/>
      <w:divBdr>
        <w:top w:val="none" w:sz="0" w:space="0" w:color="auto"/>
        <w:left w:val="none" w:sz="0" w:space="0" w:color="auto"/>
        <w:bottom w:val="none" w:sz="0" w:space="0" w:color="auto"/>
        <w:right w:val="none" w:sz="0" w:space="0" w:color="auto"/>
      </w:divBdr>
    </w:div>
    <w:div w:id="892424047">
      <w:bodyDiv w:val="1"/>
      <w:marLeft w:val="0"/>
      <w:marRight w:val="0"/>
      <w:marTop w:val="0"/>
      <w:marBottom w:val="0"/>
      <w:divBdr>
        <w:top w:val="none" w:sz="0" w:space="0" w:color="auto"/>
        <w:left w:val="none" w:sz="0" w:space="0" w:color="auto"/>
        <w:bottom w:val="none" w:sz="0" w:space="0" w:color="auto"/>
        <w:right w:val="none" w:sz="0" w:space="0" w:color="auto"/>
      </w:divBdr>
    </w:div>
    <w:div w:id="897590451">
      <w:bodyDiv w:val="1"/>
      <w:marLeft w:val="0"/>
      <w:marRight w:val="0"/>
      <w:marTop w:val="0"/>
      <w:marBottom w:val="0"/>
      <w:divBdr>
        <w:top w:val="none" w:sz="0" w:space="0" w:color="auto"/>
        <w:left w:val="none" w:sz="0" w:space="0" w:color="auto"/>
        <w:bottom w:val="none" w:sz="0" w:space="0" w:color="auto"/>
        <w:right w:val="none" w:sz="0" w:space="0" w:color="auto"/>
      </w:divBdr>
    </w:div>
    <w:div w:id="913126040">
      <w:bodyDiv w:val="1"/>
      <w:marLeft w:val="0"/>
      <w:marRight w:val="0"/>
      <w:marTop w:val="0"/>
      <w:marBottom w:val="0"/>
      <w:divBdr>
        <w:top w:val="none" w:sz="0" w:space="0" w:color="auto"/>
        <w:left w:val="none" w:sz="0" w:space="0" w:color="auto"/>
        <w:bottom w:val="none" w:sz="0" w:space="0" w:color="auto"/>
        <w:right w:val="none" w:sz="0" w:space="0" w:color="auto"/>
      </w:divBdr>
    </w:div>
    <w:div w:id="923998389">
      <w:bodyDiv w:val="1"/>
      <w:marLeft w:val="0"/>
      <w:marRight w:val="0"/>
      <w:marTop w:val="0"/>
      <w:marBottom w:val="0"/>
      <w:divBdr>
        <w:top w:val="none" w:sz="0" w:space="0" w:color="auto"/>
        <w:left w:val="none" w:sz="0" w:space="0" w:color="auto"/>
        <w:bottom w:val="none" w:sz="0" w:space="0" w:color="auto"/>
        <w:right w:val="none" w:sz="0" w:space="0" w:color="auto"/>
      </w:divBdr>
    </w:div>
    <w:div w:id="929781085">
      <w:bodyDiv w:val="1"/>
      <w:marLeft w:val="0"/>
      <w:marRight w:val="0"/>
      <w:marTop w:val="0"/>
      <w:marBottom w:val="0"/>
      <w:divBdr>
        <w:top w:val="none" w:sz="0" w:space="0" w:color="auto"/>
        <w:left w:val="none" w:sz="0" w:space="0" w:color="auto"/>
        <w:bottom w:val="none" w:sz="0" w:space="0" w:color="auto"/>
        <w:right w:val="none" w:sz="0" w:space="0" w:color="auto"/>
      </w:divBdr>
    </w:div>
    <w:div w:id="936249873">
      <w:bodyDiv w:val="1"/>
      <w:marLeft w:val="0"/>
      <w:marRight w:val="0"/>
      <w:marTop w:val="0"/>
      <w:marBottom w:val="0"/>
      <w:divBdr>
        <w:top w:val="none" w:sz="0" w:space="0" w:color="auto"/>
        <w:left w:val="none" w:sz="0" w:space="0" w:color="auto"/>
        <w:bottom w:val="none" w:sz="0" w:space="0" w:color="auto"/>
        <w:right w:val="none" w:sz="0" w:space="0" w:color="auto"/>
      </w:divBdr>
    </w:div>
    <w:div w:id="967397265">
      <w:bodyDiv w:val="1"/>
      <w:marLeft w:val="0"/>
      <w:marRight w:val="0"/>
      <w:marTop w:val="0"/>
      <w:marBottom w:val="0"/>
      <w:divBdr>
        <w:top w:val="none" w:sz="0" w:space="0" w:color="auto"/>
        <w:left w:val="none" w:sz="0" w:space="0" w:color="auto"/>
        <w:bottom w:val="none" w:sz="0" w:space="0" w:color="auto"/>
        <w:right w:val="none" w:sz="0" w:space="0" w:color="auto"/>
      </w:divBdr>
    </w:div>
    <w:div w:id="988048051">
      <w:bodyDiv w:val="1"/>
      <w:marLeft w:val="0"/>
      <w:marRight w:val="0"/>
      <w:marTop w:val="0"/>
      <w:marBottom w:val="0"/>
      <w:divBdr>
        <w:top w:val="none" w:sz="0" w:space="0" w:color="auto"/>
        <w:left w:val="none" w:sz="0" w:space="0" w:color="auto"/>
        <w:bottom w:val="none" w:sz="0" w:space="0" w:color="auto"/>
        <w:right w:val="none" w:sz="0" w:space="0" w:color="auto"/>
      </w:divBdr>
    </w:div>
    <w:div w:id="1010251821">
      <w:bodyDiv w:val="1"/>
      <w:marLeft w:val="0"/>
      <w:marRight w:val="0"/>
      <w:marTop w:val="0"/>
      <w:marBottom w:val="0"/>
      <w:divBdr>
        <w:top w:val="none" w:sz="0" w:space="0" w:color="auto"/>
        <w:left w:val="none" w:sz="0" w:space="0" w:color="auto"/>
        <w:bottom w:val="none" w:sz="0" w:space="0" w:color="auto"/>
        <w:right w:val="none" w:sz="0" w:space="0" w:color="auto"/>
      </w:divBdr>
    </w:div>
    <w:div w:id="1046297113">
      <w:bodyDiv w:val="1"/>
      <w:marLeft w:val="0"/>
      <w:marRight w:val="0"/>
      <w:marTop w:val="0"/>
      <w:marBottom w:val="0"/>
      <w:divBdr>
        <w:top w:val="none" w:sz="0" w:space="0" w:color="auto"/>
        <w:left w:val="none" w:sz="0" w:space="0" w:color="auto"/>
        <w:bottom w:val="none" w:sz="0" w:space="0" w:color="auto"/>
        <w:right w:val="none" w:sz="0" w:space="0" w:color="auto"/>
      </w:divBdr>
    </w:div>
    <w:div w:id="1174800431">
      <w:bodyDiv w:val="1"/>
      <w:marLeft w:val="0"/>
      <w:marRight w:val="0"/>
      <w:marTop w:val="0"/>
      <w:marBottom w:val="0"/>
      <w:divBdr>
        <w:top w:val="none" w:sz="0" w:space="0" w:color="auto"/>
        <w:left w:val="none" w:sz="0" w:space="0" w:color="auto"/>
        <w:bottom w:val="none" w:sz="0" w:space="0" w:color="auto"/>
        <w:right w:val="none" w:sz="0" w:space="0" w:color="auto"/>
      </w:divBdr>
    </w:div>
    <w:div w:id="1196505213">
      <w:bodyDiv w:val="1"/>
      <w:marLeft w:val="0"/>
      <w:marRight w:val="0"/>
      <w:marTop w:val="0"/>
      <w:marBottom w:val="0"/>
      <w:divBdr>
        <w:top w:val="none" w:sz="0" w:space="0" w:color="auto"/>
        <w:left w:val="none" w:sz="0" w:space="0" w:color="auto"/>
        <w:bottom w:val="none" w:sz="0" w:space="0" w:color="auto"/>
        <w:right w:val="none" w:sz="0" w:space="0" w:color="auto"/>
      </w:divBdr>
    </w:div>
    <w:div w:id="1203589141">
      <w:bodyDiv w:val="1"/>
      <w:marLeft w:val="0"/>
      <w:marRight w:val="0"/>
      <w:marTop w:val="0"/>
      <w:marBottom w:val="0"/>
      <w:divBdr>
        <w:top w:val="none" w:sz="0" w:space="0" w:color="auto"/>
        <w:left w:val="none" w:sz="0" w:space="0" w:color="auto"/>
        <w:bottom w:val="none" w:sz="0" w:space="0" w:color="auto"/>
        <w:right w:val="none" w:sz="0" w:space="0" w:color="auto"/>
      </w:divBdr>
    </w:div>
    <w:div w:id="1265189010">
      <w:bodyDiv w:val="1"/>
      <w:marLeft w:val="0"/>
      <w:marRight w:val="0"/>
      <w:marTop w:val="0"/>
      <w:marBottom w:val="0"/>
      <w:divBdr>
        <w:top w:val="none" w:sz="0" w:space="0" w:color="auto"/>
        <w:left w:val="none" w:sz="0" w:space="0" w:color="auto"/>
        <w:bottom w:val="none" w:sz="0" w:space="0" w:color="auto"/>
        <w:right w:val="none" w:sz="0" w:space="0" w:color="auto"/>
      </w:divBdr>
    </w:div>
    <w:div w:id="1296255375">
      <w:bodyDiv w:val="1"/>
      <w:marLeft w:val="0"/>
      <w:marRight w:val="0"/>
      <w:marTop w:val="0"/>
      <w:marBottom w:val="0"/>
      <w:divBdr>
        <w:top w:val="none" w:sz="0" w:space="0" w:color="auto"/>
        <w:left w:val="none" w:sz="0" w:space="0" w:color="auto"/>
        <w:bottom w:val="none" w:sz="0" w:space="0" w:color="auto"/>
        <w:right w:val="none" w:sz="0" w:space="0" w:color="auto"/>
      </w:divBdr>
    </w:div>
    <w:div w:id="1346128133">
      <w:bodyDiv w:val="1"/>
      <w:marLeft w:val="0"/>
      <w:marRight w:val="0"/>
      <w:marTop w:val="0"/>
      <w:marBottom w:val="0"/>
      <w:divBdr>
        <w:top w:val="none" w:sz="0" w:space="0" w:color="auto"/>
        <w:left w:val="none" w:sz="0" w:space="0" w:color="auto"/>
        <w:bottom w:val="none" w:sz="0" w:space="0" w:color="auto"/>
        <w:right w:val="none" w:sz="0" w:space="0" w:color="auto"/>
      </w:divBdr>
    </w:div>
    <w:div w:id="1353412350">
      <w:bodyDiv w:val="1"/>
      <w:marLeft w:val="0"/>
      <w:marRight w:val="0"/>
      <w:marTop w:val="0"/>
      <w:marBottom w:val="0"/>
      <w:divBdr>
        <w:top w:val="none" w:sz="0" w:space="0" w:color="auto"/>
        <w:left w:val="none" w:sz="0" w:space="0" w:color="auto"/>
        <w:bottom w:val="none" w:sz="0" w:space="0" w:color="auto"/>
        <w:right w:val="none" w:sz="0" w:space="0" w:color="auto"/>
      </w:divBdr>
      <w:divsChild>
        <w:div w:id="397049627">
          <w:marLeft w:val="0"/>
          <w:marRight w:val="0"/>
          <w:marTop w:val="0"/>
          <w:marBottom w:val="0"/>
          <w:divBdr>
            <w:top w:val="none" w:sz="0" w:space="0" w:color="auto"/>
            <w:left w:val="none" w:sz="0" w:space="0" w:color="auto"/>
            <w:bottom w:val="none" w:sz="0" w:space="0" w:color="auto"/>
            <w:right w:val="none" w:sz="0" w:space="0" w:color="auto"/>
          </w:divBdr>
          <w:divsChild>
            <w:div w:id="19968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3867">
      <w:bodyDiv w:val="1"/>
      <w:marLeft w:val="0"/>
      <w:marRight w:val="0"/>
      <w:marTop w:val="0"/>
      <w:marBottom w:val="0"/>
      <w:divBdr>
        <w:top w:val="none" w:sz="0" w:space="0" w:color="auto"/>
        <w:left w:val="none" w:sz="0" w:space="0" w:color="auto"/>
        <w:bottom w:val="none" w:sz="0" w:space="0" w:color="auto"/>
        <w:right w:val="none" w:sz="0" w:space="0" w:color="auto"/>
      </w:divBdr>
    </w:div>
    <w:div w:id="1414736725">
      <w:bodyDiv w:val="1"/>
      <w:marLeft w:val="0"/>
      <w:marRight w:val="0"/>
      <w:marTop w:val="0"/>
      <w:marBottom w:val="0"/>
      <w:divBdr>
        <w:top w:val="none" w:sz="0" w:space="0" w:color="auto"/>
        <w:left w:val="none" w:sz="0" w:space="0" w:color="auto"/>
        <w:bottom w:val="none" w:sz="0" w:space="0" w:color="auto"/>
        <w:right w:val="none" w:sz="0" w:space="0" w:color="auto"/>
      </w:divBdr>
    </w:div>
    <w:div w:id="1423601229">
      <w:bodyDiv w:val="1"/>
      <w:marLeft w:val="0"/>
      <w:marRight w:val="0"/>
      <w:marTop w:val="0"/>
      <w:marBottom w:val="0"/>
      <w:divBdr>
        <w:top w:val="none" w:sz="0" w:space="0" w:color="auto"/>
        <w:left w:val="none" w:sz="0" w:space="0" w:color="auto"/>
        <w:bottom w:val="none" w:sz="0" w:space="0" w:color="auto"/>
        <w:right w:val="none" w:sz="0" w:space="0" w:color="auto"/>
      </w:divBdr>
    </w:div>
    <w:div w:id="1428034976">
      <w:bodyDiv w:val="1"/>
      <w:marLeft w:val="0"/>
      <w:marRight w:val="0"/>
      <w:marTop w:val="0"/>
      <w:marBottom w:val="0"/>
      <w:divBdr>
        <w:top w:val="none" w:sz="0" w:space="0" w:color="auto"/>
        <w:left w:val="none" w:sz="0" w:space="0" w:color="auto"/>
        <w:bottom w:val="none" w:sz="0" w:space="0" w:color="auto"/>
        <w:right w:val="none" w:sz="0" w:space="0" w:color="auto"/>
      </w:divBdr>
    </w:div>
    <w:div w:id="1444617512">
      <w:bodyDiv w:val="1"/>
      <w:marLeft w:val="0"/>
      <w:marRight w:val="0"/>
      <w:marTop w:val="0"/>
      <w:marBottom w:val="0"/>
      <w:divBdr>
        <w:top w:val="none" w:sz="0" w:space="0" w:color="auto"/>
        <w:left w:val="none" w:sz="0" w:space="0" w:color="auto"/>
        <w:bottom w:val="none" w:sz="0" w:space="0" w:color="auto"/>
        <w:right w:val="none" w:sz="0" w:space="0" w:color="auto"/>
      </w:divBdr>
    </w:div>
    <w:div w:id="1465001286">
      <w:bodyDiv w:val="1"/>
      <w:marLeft w:val="0"/>
      <w:marRight w:val="0"/>
      <w:marTop w:val="0"/>
      <w:marBottom w:val="0"/>
      <w:divBdr>
        <w:top w:val="none" w:sz="0" w:space="0" w:color="auto"/>
        <w:left w:val="none" w:sz="0" w:space="0" w:color="auto"/>
        <w:bottom w:val="none" w:sz="0" w:space="0" w:color="auto"/>
        <w:right w:val="none" w:sz="0" w:space="0" w:color="auto"/>
      </w:divBdr>
    </w:div>
    <w:div w:id="1514615041">
      <w:bodyDiv w:val="1"/>
      <w:marLeft w:val="0"/>
      <w:marRight w:val="0"/>
      <w:marTop w:val="0"/>
      <w:marBottom w:val="0"/>
      <w:divBdr>
        <w:top w:val="none" w:sz="0" w:space="0" w:color="auto"/>
        <w:left w:val="none" w:sz="0" w:space="0" w:color="auto"/>
        <w:bottom w:val="none" w:sz="0" w:space="0" w:color="auto"/>
        <w:right w:val="none" w:sz="0" w:space="0" w:color="auto"/>
      </w:divBdr>
    </w:div>
    <w:div w:id="1515262068">
      <w:bodyDiv w:val="1"/>
      <w:marLeft w:val="0"/>
      <w:marRight w:val="0"/>
      <w:marTop w:val="0"/>
      <w:marBottom w:val="0"/>
      <w:divBdr>
        <w:top w:val="none" w:sz="0" w:space="0" w:color="auto"/>
        <w:left w:val="none" w:sz="0" w:space="0" w:color="auto"/>
        <w:bottom w:val="none" w:sz="0" w:space="0" w:color="auto"/>
        <w:right w:val="none" w:sz="0" w:space="0" w:color="auto"/>
      </w:divBdr>
    </w:div>
    <w:div w:id="1543129240">
      <w:bodyDiv w:val="1"/>
      <w:marLeft w:val="0"/>
      <w:marRight w:val="0"/>
      <w:marTop w:val="0"/>
      <w:marBottom w:val="0"/>
      <w:divBdr>
        <w:top w:val="none" w:sz="0" w:space="0" w:color="auto"/>
        <w:left w:val="none" w:sz="0" w:space="0" w:color="auto"/>
        <w:bottom w:val="none" w:sz="0" w:space="0" w:color="auto"/>
        <w:right w:val="none" w:sz="0" w:space="0" w:color="auto"/>
      </w:divBdr>
    </w:div>
    <w:div w:id="1549101396">
      <w:bodyDiv w:val="1"/>
      <w:marLeft w:val="0"/>
      <w:marRight w:val="0"/>
      <w:marTop w:val="0"/>
      <w:marBottom w:val="0"/>
      <w:divBdr>
        <w:top w:val="none" w:sz="0" w:space="0" w:color="auto"/>
        <w:left w:val="none" w:sz="0" w:space="0" w:color="auto"/>
        <w:bottom w:val="none" w:sz="0" w:space="0" w:color="auto"/>
        <w:right w:val="none" w:sz="0" w:space="0" w:color="auto"/>
      </w:divBdr>
    </w:div>
    <w:div w:id="1632402592">
      <w:bodyDiv w:val="1"/>
      <w:marLeft w:val="0"/>
      <w:marRight w:val="0"/>
      <w:marTop w:val="0"/>
      <w:marBottom w:val="0"/>
      <w:divBdr>
        <w:top w:val="none" w:sz="0" w:space="0" w:color="auto"/>
        <w:left w:val="none" w:sz="0" w:space="0" w:color="auto"/>
        <w:bottom w:val="none" w:sz="0" w:space="0" w:color="auto"/>
        <w:right w:val="none" w:sz="0" w:space="0" w:color="auto"/>
      </w:divBdr>
    </w:div>
    <w:div w:id="1661544946">
      <w:bodyDiv w:val="1"/>
      <w:marLeft w:val="0"/>
      <w:marRight w:val="0"/>
      <w:marTop w:val="0"/>
      <w:marBottom w:val="0"/>
      <w:divBdr>
        <w:top w:val="none" w:sz="0" w:space="0" w:color="auto"/>
        <w:left w:val="none" w:sz="0" w:space="0" w:color="auto"/>
        <w:bottom w:val="none" w:sz="0" w:space="0" w:color="auto"/>
        <w:right w:val="none" w:sz="0" w:space="0" w:color="auto"/>
      </w:divBdr>
    </w:div>
    <w:div w:id="1710761898">
      <w:bodyDiv w:val="1"/>
      <w:marLeft w:val="0"/>
      <w:marRight w:val="0"/>
      <w:marTop w:val="0"/>
      <w:marBottom w:val="0"/>
      <w:divBdr>
        <w:top w:val="none" w:sz="0" w:space="0" w:color="auto"/>
        <w:left w:val="none" w:sz="0" w:space="0" w:color="auto"/>
        <w:bottom w:val="none" w:sz="0" w:space="0" w:color="auto"/>
        <w:right w:val="none" w:sz="0" w:space="0" w:color="auto"/>
      </w:divBdr>
    </w:div>
    <w:div w:id="1750496811">
      <w:bodyDiv w:val="1"/>
      <w:marLeft w:val="0"/>
      <w:marRight w:val="0"/>
      <w:marTop w:val="0"/>
      <w:marBottom w:val="0"/>
      <w:divBdr>
        <w:top w:val="none" w:sz="0" w:space="0" w:color="auto"/>
        <w:left w:val="none" w:sz="0" w:space="0" w:color="auto"/>
        <w:bottom w:val="none" w:sz="0" w:space="0" w:color="auto"/>
        <w:right w:val="none" w:sz="0" w:space="0" w:color="auto"/>
      </w:divBdr>
    </w:div>
    <w:div w:id="1757240461">
      <w:bodyDiv w:val="1"/>
      <w:marLeft w:val="0"/>
      <w:marRight w:val="0"/>
      <w:marTop w:val="0"/>
      <w:marBottom w:val="0"/>
      <w:divBdr>
        <w:top w:val="none" w:sz="0" w:space="0" w:color="auto"/>
        <w:left w:val="none" w:sz="0" w:space="0" w:color="auto"/>
        <w:bottom w:val="none" w:sz="0" w:space="0" w:color="auto"/>
        <w:right w:val="none" w:sz="0" w:space="0" w:color="auto"/>
      </w:divBdr>
    </w:div>
    <w:div w:id="1865895466">
      <w:bodyDiv w:val="1"/>
      <w:marLeft w:val="0"/>
      <w:marRight w:val="0"/>
      <w:marTop w:val="0"/>
      <w:marBottom w:val="0"/>
      <w:divBdr>
        <w:top w:val="none" w:sz="0" w:space="0" w:color="auto"/>
        <w:left w:val="none" w:sz="0" w:space="0" w:color="auto"/>
        <w:bottom w:val="none" w:sz="0" w:space="0" w:color="auto"/>
        <w:right w:val="none" w:sz="0" w:space="0" w:color="auto"/>
      </w:divBdr>
    </w:div>
    <w:div w:id="1905988231">
      <w:bodyDiv w:val="1"/>
      <w:marLeft w:val="0"/>
      <w:marRight w:val="0"/>
      <w:marTop w:val="0"/>
      <w:marBottom w:val="0"/>
      <w:divBdr>
        <w:top w:val="none" w:sz="0" w:space="0" w:color="auto"/>
        <w:left w:val="none" w:sz="0" w:space="0" w:color="auto"/>
        <w:bottom w:val="none" w:sz="0" w:space="0" w:color="auto"/>
        <w:right w:val="none" w:sz="0" w:space="0" w:color="auto"/>
      </w:divBdr>
    </w:div>
    <w:div w:id="1980836786">
      <w:bodyDiv w:val="1"/>
      <w:marLeft w:val="0"/>
      <w:marRight w:val="0"/>
      <w:marTop w:val="0"/>
      <w:marBottom w:val="0"/>
      <w:divBdr>
        <w:top w:val="none" w:sz="0" w:space="0" w:color="auto"/>
        <w:left w:val="none" w:sz="0" w:space="0" w:color="auto"/>
        <w:bottom w:val="none" w:sz="0" w:space="0" w:color="auto"/>
        <w:right w:val="none" w:sz="0" w:space="0" w:color="auto"/>
      </w:divBdr>
    </w:div>
    <w:div w:id="2073386815">
      <w:bodyDiv w:val="1"/>
      <w:marLeft w:val="0"/>
      <w:marRight w:val="0"/>
      <w:marTop w:val="0"/>
      <w:marBottom w:val="0"/>
      <w:divBdr>
        <w:top w:val="none" w:sz="0" w:space="0" w:color="auto"/>
        <w:left w:val="none" w:sz="0" w:space="0" w:color="auto"/>
        <w:bottom w:val="none" w:sz="0" w:space="0" w:color="auto"/>
        <w:right w:val="none" w:sz="0" w:space="0" w:color="auto"/>
      </w:divBdr>
    </w:div>
    <w:div w:id="20887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mkutumula@diwaafric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int/en/aucevaw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idence.gov.bi/wp-content/uploads/2018/04/loi-03-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kingitwork-crpd.org/leave-no-woman-behind" TargetMode="External"/><Relationship Id="rId4" Type="http://schemas.openxmlformats.org/officeDocument/2006/relationships/settings" Target="settings.xml"/><Relationship Id="rId9" Type="http://schemas.openxmlformats.org/officeDocument/2006/relationships/hyperlink" Target="mailto:s.pecourt@hi.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item/27-03-2024-who-calls-for-greater-attention-to-violence-against-women-with-disabilities-and-older-women" TargetMode="External"/><Relationship Id="rId13" Type="http://schemas.openxmlformats.org/officeDocument/2006/relationships/hyperlink" Target="https://www.makingitwork-crpd.org/sites/default/files/2025-05/MUDIWA%20Echoes%20of%20hope%20for%20women%20with%20psychosocial%20disabilities-Uganda%20May2025_2.pdf" TargetMode="External"/><Relationship Id="rId18" Type="http://schemas.openxmlformats.org/officeDocument/2006/relationships/hyperlink" Target="https://www.ohchr.org/sites/default/files/Documents/Countries/NHRI/Chart_Status_NIs.pdf" TargetMode="External"/><Relationship Id="rId3" Type="http://schemas.openxmlformats.org/officeDocument/2006/relationships/hyperlink" Target="https://documents1.worldbank.org/curated/en/898541620207711446/pdf/Who-is-Disabled-in-Sub-Saharan-Africa.pdf" TargetMode="External"/><Relationship Id="rId21" Type="http://schemas.openxmlformats.org/officeDocument/2006/relationships/hyperlink" Target="https://www.cnidh.bi/documents/Rapport%20annuel%20de%20la%20CNIDH_Edition%202024.pdf" TargetMode="External"/><Relationship Id="rId7" Type="http://schemas.openxmlformats.org/officeDocument/2006/relationships/hyperlink" Target="https://www.makingitwork-crpd.org/voices-collection-experiences-women-disabilities" TargetMode="External"/><Relationship Id="rId12" Type="http://schemas.openxmlformats.org/officeDocument/2006/relationships/hyperlink" Target="https://www.hi.org/sn_uploads/document/B30-Powerful-yet-overlooked-REPORT-24Oct2024.pdf" TargetMode="External"/><Relationship Id="rId17" Type="http://schemas.openxmlformats.org/officeDocument/2006/relationships/hyperlink" Target="https://africa.unwomen.org/sites/default/files/Field%20Office%20Africa/Attachments/Publications/2021/MULTI%20COUNTRY%20ANALYTICAL%20STUDY%20ON%20ACCESS%20TO%20JUSTICE%20FOR%20VICTIMS%20AND%20SURVIVORS%20OF%20VIOLENCE%20AGAINST%20WO.pdf" TargetMode="External"/><Relationship Id="rId2" Type="http://schemas.openxmlformats.org/officeDocument/2006/relationships/hyperlink" Target="https://www.makingitwork-crpd.org/leave-no-woman-behind" TargetMode="External"/><Relationship Id="rId16" Type="http://schemas.openxmlformats.org/officeDocument/2006/relationships/hyperlink" Target="https://www.makingitwork-crpd.org/sites/default/files/2025-08/PFPC-MIW-FemmesOublieesViolencesTues-Rapport%20Aout2025.pdf" TargetMode="External"/><Relationship Id="rId20" Type="http://schemas.openxmlformats.org/officeDocument/2006/relationships/hyperlink" Target="https://www.sahrc.org.za/home/21/files/RESEARCH%20BRIEF%20ON%20DISABILITY%20AND%20EQUALITY%20IN%20SOUTH%20AFRICA%202013%20to%202017.pdf" TargetMode="External"/><Relationship Id="rId1" Type="http://schemas.openxmlformats.org/officeDocument/2006/relationships/hyperlink" Target="https://www.makingitwork-crpd.org/news/2024-still-long-way-go-inclusion-women-disabilities-african-gbv-policies-making-it-work-policy" TargetMode="External"/><Relationship Id="rId6" Type="http://schemas.openxmlformats.org/officeDocument/2006/relationships/hyperlink" Target="https://www.makingitwork-crpd.org/leave-no-woman-behind" TargetMode="External"/><Relationship Id="rId11" Type="http://schemas.openxmlformats.org/officeDocument/2006/relationships/hyperlink" Target="https://www.ohchr.org/sites/default/files/Documents/Issues/Women/SR/ReproductiveHealthCare/Humanity_and_Inclusion.docx" TargetMode="External"/><Relationship Id="rId24" Type="http://schemas.openxmlformats.org/officeDocument/2006/relationships/hyperlink" Target="https://www.makingitwork-crpd.org/sites/default/files/2025-04/CBCHS-Cameroun-NWR-Decentralized%20Local%20Authorities%20in%20Implementation%20of%20Beijing%20Platform%20for%20Action%20March2025.pdf" TargetMode="External"/><Relationship Id="rId5" Type="http://schemas.openxmlformats.org/officeDocument/2006/relationships/hyperlink" Target="https://rgph5.instad.bj/wp-content/uploads/2023/03/Principaux_Indicateursprojections_RGPH4.pdf" TargetMode="External"/><Relationship Id="rId15" Type="http://schemas.openxmlformats.org/officeDocument/2006/relationships/hyperlink" Target="https://www.makingitwork-crpd.org/sites/default/files/2024-07/Voices%20of%20women%20with%20disabilities%20in%20Burundi%20-ABPDFH-June%202024_0.pdf" TargetMode="External"/><Relationship Id="rId23" Type="http://schemas.openxmlformats.org/officeDocument/2006/relationships/hyperlink" Target="https://unprpd.org/new/wp-content/uploads/2023/12/CR_Cameroon_2021-33b.pdf" TargetMode="External"/><Relationship Id="rId10" Type="http://schemas.openxmlformats.org/officeDocument/2006/relationships/hyperlink" Target="https://social.desa.un.org/sites/default/files/2025-09/DDR2024-Full-Report-Final.pdf" TargetMode="External"/><Relationship Id="rId19" Type="http://schemas.openxmlformats.org/officeDocument/2006/relationships/hyperlink" Target="https://ganhri.org/2019-survey-report/" TargetMode="External"/><Relationship Id="rId4" Type="http://schemas.openxmlformats.org/officeDocument/2006/relationships/hyperlink" Target="https://www.uneca.org/eca-events/beijing30/national-bpfa-review-reports" TargetMode="External"/><Relationship Id="rId9" Type="http://schemas.openxmlformats.org/officeDocument/2006/relationships/hyperlink" Target="https://www.makingitwork-crpd.org/sites/default/files/2024-07/Voices%20of%20women%20with%20disabilities%20in%20Burundi%20-ABPDFH-June%202024_0.pdf" TargetMode="External"/><Relationship Id="rId14" Type="http://schemas.openxmlformats.org/officeDocument/2006/relationships/hyperlink" Target="https://www.makingitwork-crpd.org/sites/default/files/2024-06/LIDDWA-Voices%20of%20women%20with%20psychosocial%20disabilities-May2024.pdf" TargetMode="External"/><Relationship Id="rId22" Type="http://schemas.openxmlformats.org/officeDocument/2006/relationships/hyperlink" Target="https://www.cdhc.cm/admin/fichiers/Rapports2024-11-1010-07-4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44AA-D9FA-4DFF-9AF8-50F5CEE9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3383</Words>
  <Characters>19287</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Federation HI</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PECOURT</dc:creator>
  <cp:keywords/>
  <dc:description/>
  <cp:lastModifiedBy>Sophie PECOURT</cp:lastModifiedBy>
  <cp:revision>3</cp:revision>
  <dcterms:created xsi:type="dcterms:W3CDTF">2025-10-31T12:07:00Z</dcterms:created>
  <dcterms:modified xsi:type="dcterms:W3CDTF">2025-10-31T12:07:00Z</dcterms:modified>
</cp:coreProperties>
</file>