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C832" w14:textId="6F7CAD2B" w:rsidR="00F54760" w:rsidRPr="005B24D6" w:rsidRDefault="105532A3" w:rsidP="005B24D6">
      <w:pPr>
        <w:pStyle w:val="Titre"/>
        <w:jc w:val="center"/>
        <w:rPr>
          <w:sz w:val="40"/>
          <w:szCs w:val="40"/>
        </w:rPr>
      </w:pPr>
      <w:r w:rsidRPr="00FF45D9">
        <w:rPr>
          <w:b/>
          <w:bCs/>
          <w:color w:val="0070C0"/>
          <w:sz w:val="32"/>
          <w:szCs w:val="32"/>
        </w:rPr>
        <w:t xml:space="preserve">African </w:t>
      </w:r>
      <w:r w:rsidR="131FAF45" w:rsidRPr="00FF45D9">
        <w:rPr>
          <w:b/>
          <w:bCs/>
          <w:color w:val="0070C0"/>
          <w:sz w:val="32"/>
          <w:szCs w:val="32"/>
        </w:rPr>
        <w:t>G</w:t>
      </w:r>
      <w:r w:rsidRPr="00FF45D9">
        <w:rPr>
          <w:b/>
          <w:bCs/>
          <w:color w:val="0070C0"/>
          <w:sz w:val="32"/>
          <w:szCs w:val="32"/>
        </w:rPr>
        <w:t xml:space="preserve">ood </w:t>
      </w:r>
      <w:r w:rsidR="32D38746" w:rsidRPr="00FF45D9">
        <w:rPr>
          <w:b/>
          <w:bCs/>
          <w:color w:val="0070C0"/>
          <w:sz w:val="32"/>
          <w:szCs w:val="32"/>
        </w:rPr>
        <w:t>P</w:t>
      </w:r>
      <w:r w:rsidRPr="00FF45D9">
        <w:rPr>
          <w:b/>
          <w:bCs/>
          <w:color w:val="0070C0"/>
          <w:sz w:val="32"/>
          <w:szCs w:val="32"/>
        </w:rPr>
        <w:t xml:space="preserve">ractices: </w:t>
      </w:r>
      <w:r w:rsidRPr="00FF45D9">
        <w:rPr>
          <w:color w:val="0070C0"/>
          <w:sz w:val="32"/>
          <w:szCs w:val="32"/>
        </w:rPr>
        <w:t xml:space="preserve">informing the CRPD guidelines on </w:t>
      </w:r>
      <w:r w:rsidR="00F54760" w:rsidRPr="00FF45D9">
        <w:rPr>
          <w:color w:val="0070C0"/>
          <w:sz w:val="32"/>
          <w:szCs w:val="32"/>
        </w:rPr>
        <w:t>addressing</w:t>
      </w:r>
      <w:r w:rsidRPr="00FF45D9">
        <w:rPr>
          <w:color w:val="0070C0"/>
          <w:sz w:val="32"/>
          <w:szCs w:val="32"/>
        </w:rPr>
        <w:t xml:space="preserve"> multiple and intersectional forms of discrimination against women and girls with disabilities</w:t>
      </w:r>
    </w:p>
    <w:p w14:paraId="749CB5F5" w14:textId="5B03B9AC" w:rsidR="00F54760" w:rsidRPr="005B24D6" w:rsidRDefault="00F54760" w:rsidP="00F54760">
      <w:pPr>
        <w:pStyle w:val="Sous-titre"/>
        <w:rPr>
          <w:sz w:val="24"/>
          <w:szCs w:val="24"/>
        </w:rPr>
      </w:pPr>
      <w:r w:rsidRPr="005B24D6">
        <w:rPr>
          <w:sz w:val="24"/>
          <w:szCs w:val="24"/>
        </w:rPr>
        <w:t>Submission to the CRPD Committee on the guidelines on addressing multiple and intersectional forms of discrimination against women and girls with disabilities</w:t>
      </w:r>
    </w:p>
    <w:p w14:paraId="7B191B6F" w14:textId="52CCEB0A" w:rsidR="00DF0B81" w:rsidRDefault="00DF0B81" w:rsidP="00DF0B81">
      <w:pPr>
        <w:pStyle w:val="HIcorpstexte"/>
        <w:rPr>
          <w:rFonts w:ascii="Aptos" w:hAnsi="Aptos"/>
          <w:b/>
          <w:bCs/>
        </w:rPr>
      </w:pPr>
      <w:r w:rsidRPr="00431D3F">
        <w:rPr>
          <w:rFonts w:ascii="Aptos" w:hAnsi="Aptos"/>
          <w:b/>
          <w:bCs/>
        </w:rPr>
        <w:t>Submitted by Disabled Women in Africa (DIWA), Humanity &amp; Inclusion</w:t>
      </w:r>
      <w:r w:rsidR="00E3313C">
        <w:rPr>
          <w:rFonts w:ascii="Aptos" w:hAnsi="Aptos"/>
          <w:b/>
          <w:bCs/>
        </w:rPr>
        <w:t xml:space="preserve"> (HI)</w:t>
      </w:r>
      <w:r w:rsidRPr="00431D3F">
        <w:rPr>
          <w:rFonts w:ascii="Aptos" w:hAnsi="Aptos"/>
          <w:b/>
          <w:bCs/>
        </w:rPr>
        <w:t>, and Partner Organisations, on 31 October 2025.</w:t>
      </w:r>
    </w:p>
    <w:p w14:paraId="2B438CE2" w14:textId="101CEDEC" w:rsidR="00DF0B81" w:rsidRPr="00275FD0" w:rsidRDefault="00DF0B81" w:rsidP="00DF0B81">
      <w:pPr>
        <w:pStyle w:val="HIcorpstexte"/>
        <w:rPr>
          <w:rFonts w:ascii="Aptos" w:hAnsi="Aptos"/>
        </w:rPr>
      </w:pPr>
      <w:r>
        <w:rPr>
          <w:rFonts w:ascii="Aptos" w:hAnsi="Aptos"/>
          <w:b/>
          <w:bCs/>
        </w:rPr>
        <w:t>Contact</w:t>
      </w:r>
      <w:r w:rsidR="00FE1E93">
        <w:rPr>
          <w:rFonts w:ascii="Aptos" w:hAnsi="Aptos"/>
          <w:b/>
          <w:bCs/>
        </w:rPr>
        <w:t>s</w:t>
      </w:r>
      <w:r>
        <w:rPr>
          <w:rFonts w:ascii="Aptos" w:hAnsi="Aptos"/>
          <w:b/>
          <w:bCs/>
        </w:rPr>
        <w:t xml:space="preserve">: </w:t>
      </w:r>
      <w:r w:rsidR="00F41CE7">
        <w:rPr>
          <w:rFonts w:ascii="Aptos" w:hAnsi="Aptos"/>
          <w:b/>
          <w:bCs/>
        </w:rPr>
        <w:br/>
      </w:r>
      <w:r w:rsidRPr="00275FD0">
        <w:rPr>
          <w:rFonts w:ascii="Aptos" w:hAnsi="Aptos"/>
        </w:rPr>
        <w:t xml:space="preserve">Ruth Mkutumula </w:t>
      </w:r>
      <w:hyperlink r:id="rId8" w:history="1">
        <w:r w:rsidR="00966DEB" w:rsidRPr="00275FD0">
          <w:rPr>
            <w:rStyle w:val="Lienhypertexte"/>
            <w:rFonts w:ascii="Aptos" w:hAnsi="Aptos"/>
          </w:rPr>
          <w:t>ruthmkutumula@diwaafrica.org</w:t>
        </w:r>
      </w:hyperlink>
      <w:r w:rsidR="0047625B">
        <w:t>,</w:t>
      </w:r>
      <w:r w:rsidR="00966DEB" w:rsidRPr="00275FD0">
        <w:rPr>
          <w:rFonts w:ascii="Aptos" w:hAnsi="Aptos"/>
        </w:rPr>
        <w:t xml:space="preserve"> </w:t>
      </w:r>
      <w:r w:rsidR="00275FD0" w:rsidRPr="00275FD0">
        <w:rPr>
          <w:rFonts w:ascii="Aptos" w:hAnsi="Aptos"/>
        </w:rPr>
        <w:t xml:space="preserve">Sophie Pecourt </w:t>
      </w:r>
      <w:hyperlink r:id="rId9" w:history="1">
        <w:r w:rsidR="00275FD0" w:rsidRPr="00275FD0">
          <w:rPr>
            <w:rStyle w:val="Lienhypertexte"/>
            <w:rFonts w:ascii="Aptos" w:hAnsi="Aptos"/>
          </w:rPr>
          <w:t>s.pecourt@hi.org</w:t>
        </w:r>
      </w:hyperlink>
      <w:r w:rsidR="00966DEB" w:rsidRPr="00275FD0">
        <w:rPr>
          <w:rFonts w:ascii="Aptos" w:hAnsi="Aptos"/>
        </w:rPr>
        <w:t xml:space="preserve"> </w:t>
      </w:r>
    </w:p>
    <w:p w14:paraId="026AE01D" w14:textId="77777777" w:rsidR="00912AC3" w:rsidRPr="003C0455" w:rsidRDefault="00912AC3" w:rsidP="00442DD6">
      <w:pPr>
        <w:pStyle w:val="Titre1"/>
      </w:pPr>
      <w:r w:rsidRPr="00442DD6">
        <w:t>Contributors</w:t>
      </w:r>
    </w:p>
    <w:p w14:paraId="14529370" w14:textId="418ED32A" w:rsidR="00B01452" w:rsidRDefault="00912AC3" w:rsidP="00442DD6">
      <w:pPr>
        <w:spacing w:before="60" w:after="0"/>
        <w:rPr>
          <w:lang w:val="en-CA"/>
        </w:rPr>
      </w:pPr>
      <w:r w:rsidRPr="005B24D6">
        <w:rPr>
          <w:b/>
          <w:bCs/>
        </w:rPr>
        <w:t xml:space="preserve">HI-MIW and DIWA would like to acknowledge the significant contributions of </w:t>
      </w:r>
      <w:r>
        <w:rPr>
          <w:b/>
          <w:bCs/>
        </w:rPr>
        <w:t>partner organisations</w:t>
      </w:r>
      <w:r w:rsidR="00355DD0">
        <w:rPr>
          <w:b/>
          <w:bCs/>
        </w:rPr>
        <w:t xml:space="preserve">. </w:t>
      </w:r>
      <w:r w:rsidR="00B01452" w:rsidRPr="00615121">
        <w:t xml:space="preserve">OFAB, ONG </w:t>
      </w:r>
      <w:proofErr w:type="spellStart"/>
      <w:r w:rsidR="00B01452" w:rsidRPr="00615121">
        <w:t>Dedji</w:t>
      </w:r>
      <w:proofErr w:type="spellEnd"/>
      <w:r w:rsidR="00B01452" w:rsidRPr="00615121">
        <w:t xml:space="preserve"> (Benin), ABPDFH (Burundi), CBCHS (Cameroon), WODAO (Ghana), COVAW, UDPK, WCC (Kenya), NEGWDM (Malawi), AWWDI (Nigeria), UNABU (Rwanda), </w:t>
      </w:r>
      <w:r w:rsidR="00B01452">
        <w:t xml:space="preserve">BCDC </w:t>
      </w:r>
      <w:proofErr w:type="spellStart"/>
      <w:r w:rsidR="00B01452">
        <w:t>Ziguinchor</w:t>
      </w:r>
      <w:proofErr w:type="spellEnd"/>
      <w:r w:rsidR="00B01452" w:rsidRPr="00615121">
        <w:t>, Wildaf (Senegal), APROFEHTO, AST (Togo), LIDDWA, MUDIWA (Uganda)</w:t>
      </w:r>
    </w:p>
    <w:p w14:paraId="25270CFC" w14:textId="77777777" w:rsidR="00B83912" w:rsidRPr="00442DD6" w:rsidRDefault="00B83912" w:rsidP="00442DD6">
      <w:pPr>
        <w:pStyle w:val="Titre1"/>
        <w:rPr>
          <w:b/>
          <w:bCs/>
          <w:color w:val="0070C0"/>
        </w:rPr>
      </w:pPr>
      <w:r w:rsidRPr="00442DD6">
        <w:rPr>
          <w:b/>
          <w:bCs/>
          <w:color w:val="0070C0"/>
        </w:rPr>
        <w:t>On laws and policies</w:t>
      </w:r>
    </w:p>
    <w:p w14:paraId="7C0A622D" w14:textId="708C83B2" w:rsidR="00B85B2B" w:rsidRPr="00442DD6" w:rsidRDefault="00B85B2B" w:rsidP="71BD2328">
      <w:pPr>
        <w:rPr>
          <w:color w:val="0070C0"/>
        </w:rPr>
      </w:pPr>
      <w:r w:rsidRPr="00442DD6">
        <w:rPr>
          <w:color w:val="0070C0"/>
        </w:rPr>
        <w:t>Refer to Good Practice</w:t>
      </w:r>
      <w:r w:rsidR="003760CF" w:rsidRPr="00442DD6">
        <w:rPr>
          <w:color w:val="0070C0"/>
        </w:rPr>
        <w:t xml:space="preserve"> (GP) 9, 10, 11, 12, 13, 14</w:t>
      </w:r>
      <w:r w:rsidR="008C561D" w:rsidRPr="00442DD6">
        <w:rPr>
          <w:color w:val="0070C0"/>
        </w:rPr>
        <w:t>.</w:t>
      </w:r>
    </w:p>
    <w:p w14:paraId="318FF2DE" w14:textId="00762379" w:rsidR="000A7E64" w:rsidRPr="00442DD6" w:rsidRDefault="000A7E64" w:rsidP="00442DD6">
      <w:pPr>
        <w:pStyle w:val="Titre1"/>
        <w:rPr>
          <w:b/>
          <w:bCs/>
          <w:color w:val="0070C0"/>
        </w:rPr>
      </w:pPr>
      <w:r w:rsidRPr="00442DD6">
        <w:rPr>
          <w:b/>
          <w:bCs/>
          <w:color w:val="0070C0"/>
        </w:rPr>
        <w:t>On disaggregated data</w:t>
      </w:r>
    </w:p>
    <w:p w14:paraId="275CFC8F" w14:textId="35EAB0B8" w:rsidR="00CB24FC" w:rsidRPr="00442DD6" w:rsidRDefault="00557431" w:rsidP="00CE475D">
      <w:pPr>
        <w:rPr>
          <w:color w:val="0070C0"/>
        </w:rPr>
      </w:pPr>
      <w:r w:rsidRPr="00442DD6">
        <w:rPr>
          <w:color w:val="0070C0"/>
        </w:rPr>
        <w:t xml:space="preserve">Refer to Good Practice (GP) </w:t>
      </w:r>
      <w:r w:rsidR="003760CF" w:rsidRPr="00442DD6">
        <w:rPr>
          <w:color w:val="0070C0"/>
        </w:rPr>
        <w:t xml:space="preserve">2, </w:t>
      </w:r>
      <w:r w:rsidR="008C561D" w:rsidRPr="00442DD6">
        <w:rPr>
          <w:color w:val="0070C0"/>
        </w:rPr>
        <w:t>17, 18, 19</w:t>
      </w:r>
      <w:r w:rsidR="00F54760" w:rsidRPr="00442DD6">
        <w:rPr>
          <w:color w:val="0070C0"/>
        </w:rPr>
        <w:t>.</w:t>
      </w:r>
    </w:p>
    <w:p w14:paraId="547F4ABD" w14:textId="7F148997" w:rsidR="00052680" w:rsidRPr="00442DD6" w:rsidRDefault="00052680" w:rsidP="00442DD6">
      <w:pPr>
        <w:pStyle w:val="Titre1"/>
        <w:rPr>
          <w:b/>
          <w:bCs/>
          <w:color w:val="0070C0"/>
        </w:rPr>
      </w:pPr>
      <w:r w:rsidRPr="00442DD6">
        <w:rPr>
          <w:b/>
          <w:bCs/>
          <w:color w:val="0070C0"/>
        </w:rPr>
        <w:t>On</w:t>
      </w:r>
      <w:r w:rsidR="00B01452" w:rsidRPr="00442DD6">
        <w:rPr>
          <w:b/>
          <w:bCs/>
          <w:color w:val="0070C0"/>
        </w:rPr>
        <w:t xml:space="preserve"> the</w:t>
      </w:r>
      <w:r w:rsidRPr="00442DD6">
        <w:rPr>
          <w:b/>
          <w:bCs/>
          <w:color w:val="0070C0"/>
        </w:rPr>
        <w:t xml:space="preserve"> situation of women </w:t>
      </w:r>
      <w:r w:rsidR="00B01452" w:rsidRPr="00442DD6">
        <w:rPr>
          <w:b/>
          <w:bCs/>
          <w:color w:val="0070C0"/>
        </w:rPr>
        <w:t xml:space="preserve">and girls </w:t>
      </w:r>
      <w:r w:rsidRPr="00442DD6">
        <w:rPr>
          <w:b/>
          <w:bCs/>
          <w:color w:val="0070C0"/>
        </w:rPr>
        <w:t xml:space="preserve">with disabilities in their diversities </w:t>
      </w:r>
    </w:p>
    <w:p w14:paraId="536990BA" w14:textId="214065FB" w:rsidR="00045446" w:rsidRPr="00442DD6" w:rsidRDefault="00F80242" w:rsidP="71BD2328">
      <w:pPr>
        <w:rPr>
          <w:color w:val="0070C0"/>
        </w:rPr>
      </w:pPr>
      <w:r w:rsidRPr="00442DD6">
        <w:rPr>
          <w:color w:val="0070C0"/>
        </w:rPr>
        <w:t xml:space="preserve">Refer to Good Practice (GP) 1, 2, 3, </w:t>
      </w:r>
      <w:r w:rsidR="00BC032E" w:rsidRPr="00442DD6">
        <w:rPr>
          <w:color w:val="0070C0"/>
        </w:rPr>
        <w:t>4, 5,</w:t>
      </w:r>
      <w:r w:rsidR="00B765EA" w:rsidRPr="00442DD6">
        <w:rPr>
          <w:color w:val="0070C0"/>
        </w:rPr>
        <w:t xml:space="preserve"> 6, 7, 8,</w:t>
      </w:r>
      <w:r w:rsidR="00BC032E" w:rsidRPr="00442DD6">
        <w:rPr>
          <w:color w:val="0070C0"/>
        </w:rPr>
        <w:t xml:space="preserve"> </w:t>
      </w:r>
      <w:r w:rsidR="008C561D" w:rsidRPr="00442DD6">
        <w:rPr>
          <w:color w:val="0070C0"/>
        </w:rPr>
        <w:t>15, 16.</w:t>
      </w:r>
    </w:p>
    <w:p w14:paraId="71FEBFB7" w14:textId="77777777" w:rsidR="00534181" w:rsidRDefault="00534181">
      <w:pPr>
        <w:rPr>
          <w:rFonts w:asciiTheme="majorHAnsi" w:eastAsiaTheme="majorEastAsia" w:hAnsiTheme="majorHAnsi" w:cstheme="majorBidi"/>
          <w:b/>
          <w:bCs/>
          <w:color w:val="0F4761" w:themeColor="accent1" w:themeShade="BF"/>
          <w:sz w:val="28"/>
          <w:szCs w:val="28"/>
        </w:rPr>
      </w:pPr>
      <w:r>
        <w:br w:type="page"/>
      </w:r>
    </w:p>
    <w:p w14:paraId="16E36A8F" w14:textId="0AF4F244" w:rsidR="003549F3" w:rsidRPr="00DC07E8" w:rsidRDefault="4D75DC9E" w:rsidP="00442DD6">
      <w:pPr>
        <w:pStyle w:val="Titre1"/>
        <w:rPr>
          <w:lang w:val="en-US"/>
        </w:rPr>
      </w:pPr>
      <w:r>
        <w:lastRenderedPageBreak/>
        <w:t>Intro</w:t>
      </w:r>
      <w:r w:rsidR="05AE66E2">
        <w:t>duction</w:t>
      </w:r>
    </w:p>
    <w:p w14:paraId="3816442F" w14:textId="34D34D12" w:rsidR="00407C36" w:rsidRPr="000866F2" w:rsidRDefault="00407C36" w:rsidP="00407C36">
      <w:pPr>
        <w:rPr>
          <w:rFonts w:ascii="Aptos" w:eastAsia="Aptos" w:hAnsi="Aptos" w:cs="Aptos"/>
        </w:rPr>
      </w:pPr>
      <w:r w:rsidRPr="000866F2">
        <w:rPr>
          <w:rFonts w:ascii="Aptos" w:eastAsia="Aptos" w:hAnsi="Aptos" w:cs="Aptos"/>
        </w:rPr>
        <w:t xml:space="preserve">This submission complements </w:t>
      </w:r>
      <w:r>
        <w:rPr>
          <w:rFonts w:ascii="Aptos" w:eastAsia="Aptos" w:hAnsi="Aptos" w:cs="Aptos"/>
        </w:rPr>
        <w:t>another</w:t>
      </w:r>
      <w:r w:rsidRPr="000866F2">
        <w:rPr>
          <w:rFonts w:ascii="Aptos" w:eastAsia="Aptos" w:hAnsi="Aptos" w:cs="Aptos"/>
        </w:rPr>
        <w:t xml:space="preserve"> one by DIWA and HI, entitled “</w:t>
      </w:r>
      <w:r w:rsidRPr="005B24D6">
        <w:rPr>
          <w:rFonts w:ascii="Aptos" w:eastAsia="Aptos" w:hAnsi="Aptos" w:cs="Aptos"/>
        </w:rPr>
        <w:t>"</w:t>
      </w:r>
      <w:hyperlink r:id="rId10" w:tgtFrame="_blank" w:tooltip="https://www.makingitwork-crpd.org/leave-no-woman-behind" w:history="1">
        <w:r w:rsidRPr="005B24D6">
          <w:rPr>
            <w:rStyle w:val="Lienhypertexte"/>
            <w:rFonts w:ascii="Aptos" w:eastAsia="Aptos" w:hAnsi="Aptos" w:cs="Aptos"/>
          </w:rPr>
          <w:t xml:space="preserve">African Perspectives on </w:t>
        </w:r>
        <w:r w:rsidR="00051C8B">
          <w:rPr>
            <w:rStyle w:val="Lienhypertexte"/>
            <w:rFonts w:ascii="Aptos" w:eastAsia="Aptos" w:hAnsi="Aptos" w:cs="Aptos"/>
          </w:rPr>
          <w:t>m</w:t>
        </w:r>
        <w:r w:rsidRPr="005B24D6">
          <w:rPr>
            <w:rStyle w:val="Lienhypertexte"/>
            <w:rFonts w:ascii="Aptos" w:eastAsia="Aptos" w:hAnsi="Aptos" w:cs="Aptos"/>
          </w:rPr>
          <w:t xml:space="preserve">ultiple and </w:t>
        </w:r>
        <w:r w:rsidR="00051C8B">
          <w:rPr>
            <w:rStyle w:val="Lienhypertexte"/>
            <w:rFonts w:ascii="Aptos" w:eastAsia="Aptos" w:hAnsi="Aptos" w:cs="Aptos"/>
          </w:rPr>
          <w:t>i</w:t>
        </w:r>
        <w:r w:rsidRPr="005B24D6">
          <w:rPr>
            <w:rStyle w:val="Lienhypertexte"/>
            <w:rFonts w:ascii="Aptos" w:eastAsia="Aptos" w:hAnsi="Aptos" w:cs="Aptos"/>
          </w:rPr>
          <w:t xml:space="preserve">ntersectional </w:t>
        </w:r>
        <w:r w:rsidR="00051C8B">
          <w:rPr>
            <w:rStyle w:val="Lienhypertexte"/>
            <w:rFonts w:ascii="Aptos" w:eastAsia="Aptos" w:hAnsi="Aptos" w:cs="Aptos"/>
          </w:rPr>
          <w:t>d</w:t>
        </w:r>
        <w:r w:rsidRPr="005B24D6">
          <w:rPr>
            <w:rStyle w:val="Lienhypertexte"/>
            <w:rFonts w:ascii="Aptos" w:eastAsia="Aptos" w:hAnsi="Aptos" w:cs="Aptos"/>
          </w:rPr>
          <w:t>iscrimination against women and girls with disabilities</w:t>
        </w:r>
      </w:hyperlink>
      <w:r w:rsidRPr="005B24D6">
        <w:rPr>
          <w:rFonts w:ascii="Aptos" w:eastAsia="Aptos" w:hAnsi="Aptos" w:cs="Aptos"/>
        </w:rPr>
        <w:t>”</w:t>
      </w:r>
      <w:r>
        <w:rPr>
          <w:rFonts w:ascii="Aptos" w:eastAsia="Aptos" w:hAnsi="Aptos" w:cs="Aptos"/>
        </w:rPr>
        <w:t xml:space="preserve">, </w:t>
      </w:r>
      <w:r w:rsidRPr="000866F2">
        <w:rPr>
          <w:rFonts w:ascii="Aptos" w:eastAsia="Aptos" w:hAnsi="Aptos" w:cs="Aptos"/>
        </w:rPr>
        <w:t>submitted in response to the same call.</w:t>
      </w:r>
    </w:p>
    <w:p w14:paraId="3E0F6A4C" w14:textId="5259E540" w:rsidR="00CB24FC" w:rsidRPr="00294544" w:rsidRDefault="13B6179A" w:rsidP="491F701C">
      <w:pPr>
        <w:rPr>
          <w:rFonts w:ascii="Aptos" w:eastAsia="Aptos" w:hAnsi="Aptos" w:cs="Aptos"/>
        </w:rPr>
      </w:pPr>
      <w:r>
        <w:t xml:space="preserve">Women-led OPDs play a crucial role in </w:t>
      </w:r>
      <w:r w:rsidRPr="00294544">
        <w:t>advancing equality and inclusion</w:t>
      </w:r>
      <w:r w:rsidR="006A221C" w:rsidRPr="00294544">
        <w:t>.</w:t>
      </w:r>
      <w:r w:rsidR="005B24D6" w:rsidRPr="00294544">
        <w:t xml:space="preserve"> </w:t>
      </w:r>
      <w:r w:rsidRPr="00294544">
        <w:t>Their lived experience</w:t>
      </w:r>
      <w:r w:rsidR="5296258C" w:rsidRPr="00294544">
        <w:t>, expertise</w:t>
      </w:r>
      <w:r w:rsidRPr="00294544">
        <w:t xml:space="preserve"> and leadership must guide States in designing, budgeting, and implementing laws and policies that address the</w:t>
      </w:r>
      <w:r w:rsidR="43B1AAC8" w:rsidRPr="00294544">
        <w:t xml:space="preserve"> multiple and</w:t>
      </w:r>
      <w:r w:rsidRPr="00294544">
        <w:t xml:space="preserve"> intersecting </w:t>
      </w:r>
      <w:r w:rsidR="3C399885" w:rsidRPr="00294544">
        <w:t>discriminations</w:t>
      </w:r>
      <w:r w:rsidRPr="00294544">
        <w:t xml:space="preserve"> faced by women and girls with disabilities. States should meaningfully involve these </w:t>
      </w:r>
      <w:r w:rsidR="00CB24FC" w:rsidRPr="00294544">
        <w:t>organisations</w:t>
      </w:r>
      <w:r w:rsidRPr="00294544">
        <w:t xml:space="preserve"> in all decision-making processes</w:t>
      </w:r>
      <w:r w:rsidR="006A221C" w:rsidRPr="00294544">
        <w:t xml:space="preserve"> </w:t>
      </w:r>
      <w:r w:rsidRPr="00294544">
        <w:t>to ensure truly</w:t>
      </w:r>
      <w:r w:rsidR="0052265D" w:rsidRPr="00294544">
        <w:t xml:space="preserve"> </w:t>
      </w:r>
      <w:r w:rsidRPr="00294544">
        <w:t>inclusive governance</w:t>
      </w:r>
      <w:r w:rsidR="56D29285" w:rsidRPr="00294544">
        <w:t xml:space="preserve"> and </w:t>
      </w:r>
      <w:r w:rsidR="56D29285" w:rsidRPr="00294544">
        <w:rPr>
          <w:rFonts w:ascii="Aptos" w:eastAsia="Aptos" w:hAnsi="Aptos" w:cs="Aptos"/>
        </w:rPr>
        <w:t>to guarantee that systems and services are inclusive, accessible, and reflective of the realities of women with disabilities in all their diversity.</w:t>
      </w:r>
      <w:r w:rsidR="5EA699DB" w:rsidRPr="00294544">
        <w:rPr>
          <w:rFonts w:ascii="Aptos" w:eastAsia="Aptos" w:hAnsi="Aptos" w:cs="Aptos"/>
        </w:rPr>
        <w:t xml:space="preserve"> The good practices presented below illustrate how this leadership is already transforming policies, services, and societies across Africa.</w:t>
      </w:r>
      <w:r w:rsidR="005B24D6" w:rsidRPr="00294544">
        <w:rPr>
          <w:rFonts w:ascii="Aptos" w:eastAsia="Aptos" w:hAnsi="Aptos" w:cs="Aptos"/>
        </w:rPr>
        <w:t xml:space="preserve"> </w:t>
      </w:r>
      <w:bookmarkStart w:id="0" w:name="_Hlk212635747"/>
    </w:p>
    <w:bookmarkEnd w:id="0"/>
    <w:p w14:paraId="044EBB1A" w14:textId="6855DC59" w:rsidR="009579A3" w:rsidRPr="00B54313" w:rsidRDefault="22F1E8D8" w:rsidP="00442DD6">
      <w:pPr>
        <w:pStyle w:val="Titre1"/>
      </w:pPr>
      <w:r w:rsidRPr="00B54313">
        <w:t>Ensuring intersectional inclusion in</w:t>
      </w:r>
      <w:r w:rsidR="13CCE4C1" w:rsidRPr="00B54313">
        <w:t xml:space="preserve"> </w:t>
      </w:r>
      <w:r w:rsidRPr="00B54313">
        <w:t>e</w:t>
      </w:r>
      <w:r w:rsidR="13CCE4C1" w:rsidRPr="00B54313">
        <w:t xml:space="preserve">ssential </w:t>
      </w:r>
      <w:r w:rsidRPr="00B54313">
        <w:t>s</w:t>
      </w:r>
      <w:r w:rsidR="13CCE4C1" w:rsidRPr="00B54313">
        <w:t>ervices: Good practices in training service providers to uphold the rights of women with disabilities</w:t>
      </w:r>
    </w:p>
    <w:p w14:paraId="1056D383" w14:textId="625AE830" w:rsidR="007D4D4B" w:rsidRPr="00906E22" w:rsidRDefault="10AD0DD1" w:rsidP="00953128">
      <w:pPr>
        <w:pStyle w:val="Titre3"/>
        <w:numPr>
          <w:ilvl w:val="0"/>
          <w:numId w:val="13"/>
        </w:numPr>
        <w:rPr>
          <w:rStyle w:val="Titre3Car"/>
          <w:lang w:val="en-US"/>
        </w:rPr>
      </w:pPr>
      <w:r w:rsidRPr="00906E22">
        <w:rPr>
          <w:rStyle w:val="Titre3Car"/>
          <w:lang w:val="en-US"/>
        </w:rPr>
        <w:t>T</w:t>
      </w:r>
      <w:r w:rsidR="06DF2748" w:rsidRPr="00906E22">
        <w:rPr>
          <w:rStyle w:val="Titre3Car"/>
          <w:lang w:val="en-US"/>
        </w:rPr>
        <w:t>raining</w:t>
      </w:r>
      <w:r w:rsidR="1AF58F61" w:rsidRPr="00906E22">
        <w:rPr>
          <w:rStyle w:val="Titre3Car"/>
          <w:lang w:val="en-US"/>
        </w:rPr>
        <w:t xml:space="preserve"> of</w:t>
      </w:r>
      <w:r w:rsidR="06DF2748" w:rsidRPr="00906E22">
        <w:rPr>
          <w:rStyle w:val="Titre3Car"/>
          <w:lang w:val="en-US"/>
        </w:rPr>
        <w:t xml:space="preserve"> Police, Justice and Social</w:t>
      </w:r>
      <w:r w:rsidR="42E27075" w:rsidRPr="00906E22">
        <w:rPr>
          <w:rStyle w:val="Titre3Car"/>
          <w:lang w:val="en-US"/>
        </w:rPr>
        <w:t xml:space="preserve"> services</w:t>
      </w:r>
      <w:r w:rsidR="1AF58F61" w:rsidRPr="00906E22">
        <w:rPr>
          <w:rStyle w:val="Titre3Car"/>
          <w:lang w:val="en-US"/>
        </w:rPr>
        <w:t>: good practices from West Afric</w:t>
      </w:r>
      <w:r w:rsidR="3EB2CA19" w:rsidRPr="00906E22">
        <w:rPr>
          <w:rStyle w:val="Titre3Car"/>
          <w:lang w:val="en-US"/>
        </w:rPr>
        <w:t>a</w:t>
      </w:r>
    </w:p>
    <w:p w14:paraId="07087B70" w14:textId="12EE3D52" w:rsidR="00DE7650" w:rsidRPr="00906E22" w:rsidRDefault="220EDB5E" w:rsidP="491F701C">
      <w:pPr>
        <w:rPr>
          <w:b/>
          <w:bCs/>
        </w:rPr>
      </w:pPr>
      <w:r w:rsidRPr="491F701C">
        <w:rPr>
          <w:b/>
          <w:bCs/>
        </w:rPr>
        <w:t>In Togo, in June</w:t>
      </w:r>
      <w:r w:rsidR="00906E22">
        <w:rPr>
          <w:b/>
          <w:bCs/>
        </w:rPr>
        <w:t xml:space="preserve"> and July</w:t>
      </w:r>
      <w:r w:rsidRPr="491F701C">
        <w:rPr>
          <w:b/>
          <w:bCs/>
        </w:rPr>
        <w:t xml:space="preserve"> 2024, APROFEHTO (Association for the Promotion of Women with Disabilities in Togo)</w:t>
      </w:r>
      <w:r w:rsidR="00906E22">
        <w:rPr>
          <w:b/>
          <w:bCs/>
        </w:rPr>
        <w:t xml:space="preserve"> and </w:t>
      </w:r>
      <w:r w:rsidR="00906E22" w:rsidRPr="22FF419F">
        <w:rPr>
          <w:b/>
          <w:bCs/>
        </w:rPr>
        <w:t xml:space="preserve">Women's Unit of AST (Association of the Deaf in Togo) </w:t>
      </w:r>
      <w:r>
        <w:t xml:space="preserve">trained </w:t>
      </w:r>
      <w:r w:rsidR="00906E22">
        <w:t>25</w:t>
      </w:r>
      <w:r>
        <w:t xml:space="preserve"> professionals working in </w:t>
      </w:r>
      <w:r w:rsidR="000866F2">
        <w:t>gender-based violence</w:t>
      </w:r>
      <w:r w:rsidR="000F6DB1">
        <w:t xml:space="preserve"> (GBV)</w:t>
      </w:r>
      <w:r w:rsidR="000866F2">
        <w:t xml:space="preserve"> response </w:t>
      </w:r>
      <w:r>
        <w:t xml:space="preserve">services. These professionals included female lawyers, police officers, social services, SRH </w:t>
      </w:r>
      <w:r w:rsidR="001D46D7">
        <w:t>and</w:t>
      </w:r>
      <w:r>
        <w:t xml:space="preserve"> health professionals. The training was provided by women with disabilities</w:t>
      </w:r>
      <w:r w:rsidR="00906E22">
        <w:t>, including hearing disabilities</w:t>
      </w:r>
      <w:r w:rsidR="001D46D7">
        <w:t>,</w:t>
      </w:r>
      <w:r>
        <w:t xml:space="preserve"> from APROFEHTO</w:t>
      </w:r>
      <w:r w:rsidR="00906E22">
        <w:t xml:space="preserve"> and AST</w:t>
      </w:r>
      <w:r>
        <w:t>, who had previously been trained by MIW.</w:t>
      </w:r>
      <w:r w:rsidR="001D46D7">
        <w:rPr>
          <w:b/>
          <w:bCs/>
        </w:rPr>
        <w:t xml:space="preserve"> </w:t>
      </w:r>
      <w:r w:rsidR="52F8D8D8">
        <w:t>One example of a concrete, positive outcome is that several months after the training,</w:t>
      </w:r>
      <w:r w:rsidR="6FBE8E75">
        <w:t xml:space="preserve"> in October 2025,</w:t>
      </w:r>
      <w:r w:rsidR="52F8D8D8">
        <w:t xml:space="preserve"> the Family Planning Association of Togo</w:t>
      </w:r>
      <w:r w:rsidR="777AFE53">
        <w:t xml:space="preserve"> (ATBEF)</w:t>
      </w:r>
      <w:r w:rsidR="52F8D8D8">
        <w:t xml:space="preserve"> equipped its centre with an accessible gynaecological examination bed and had </w:t>
      </w:r>
      <w:r w:rsidR="266C72E1">
        <w:t>40</w:t>
      </w:r>
      <w:r w:rsidR="52F8D8D8">
        <w:t xml:space="preserve"> Sexual and Reproductive Health</w:t>
      </w:r>
      <w:r w:rsidR="00906E22">
        <w:t xml:space="preserve"> </w:t>
      </w:r>
      <w:r w:rsidR="62B4B91F">
        <w:t>professionals</w:t>
      </w:r>
      <w:r w:rsidR="75D1A898">
        <w:t>, from all regions of Togo,</w:t>
      </w:r>
      <w:r w:rsidR="52F8D8D8">
        <w:t xml:space="preserve"> trained in the basics of sign language</w:t>
      </w:r>
      <w:r w:rsidR="6854D4C0">
        <w:t xml:space="preserve"> and inclusive response services to GBV survivors with disabilities.</w:t>
      </w:r>
    </w:p>
    <w:p w14:paraId="6DC12917" w14:textId="34239A56" w:rsidR="00DE7650" w:rsidRDefault="220EDB5E" w:rsidP="00DE7650">
      <w:pPr>
        <w:rPr>
          <w:b/>
          <w:bCs/>
        </w:rPr>
      </w:pPr>
      <w:r w:rsidRPr="491F701C">
        <w:rPr>
          <w:b/>
          <w:bCs/>
        </w:rPr>
        <w:t>In</w:t>
      </w:r>
      <w:r w:rsidR="098D7407" w:rsidRPr="491F701C">
        <w:rPr>
          <w:b/>
          <w:bCs/>
        </w:rPr>
        <w:t xml:space="preserve"> Benin, in</w:t>
      </w:r>
      <w:r w:rsidRPr="491F701C">
        <w:rPr>
          <w:b/>
          <w:bCs/>
        </w:rPr>
        <w:t xml:space="preserve"> June 2024, OFAB (Organisation of Blind Women of Benin) </w:t>
      </w:r>
      <w:r>
        <w:t xml:space="preserve">trained 12 professionals working in services that respond to GBV (police officers, including the juvenile brigade, judges, lawyers, and social services). The training was provided by </w:t>
      </w:r>
      <w:r w:rsidR="000866F2">
        <w:t xml:space="preserve">visually impaired </w:t>
      </w:r>
      <w:r>
        <w:t xml:space="preserve">women from OFAB </w:t>
      </w:r>
      <w:r w:rsidR="000866F2">
        <w:t xml:space="preserve">, who </w:t>
      </w:r>
      <w:r>
        <w:t xml:space="preserve">had previously been trained by </w:t>
      </w:r>
      <w:r w:rsidR="000866F2">
        <w:t>HI</w:t>
      </w:r>
      <w:r w:rsidR="000F6DB1">
        <w:t xml:space="preserve"> through the Making It Work Gender and Disability project (</w:t>
      </w:r>
      <w:r>
        <w:t>MIW</w:t>
      </w:r>
      <w:r w:rsidR="000F6DB1">
        <w:t>)</w:t>
      </w:r>
      <w:r>
        <w:t>.</w:t>
      </w:r>
    </w:p>
    <w:p w14:paraId="49EC1524" w14:textId="13776BB4" w:rsidR="0067774E" w:rsidRDefault="60679102" w:rsidP="00981FA3">
      <w:pPr>
        <w:spacing w:after="0"/>
      </w:pPr>
      <w:r w:rsidRPr="491F701C">
        <w:rPr>
          <w:b/>
          <w:bCs/>
        </w:rPr>
        <w:t>K</w:t>
      </w:r>
      <w:r w:rsidR="459C6CD0" w:rsidRPr="491F701C">
        <w:rPr>
          <w:b/>
          <w:bCs/>
        </w:rPr>
        <w:t>ey factors for success:</w:t>
      </w:r>
    </w:p>
    <w:p w14:paraId="56EC4194" w14:textId="77777777" w:rsidR="001D46D7" w:rsidRDefault="001D46D7" w:rsidP="00953128">
      <w:pPr>
        <w:pStyle w:val="Paragraphedeliste"/>
        <w:numPr>
          <w:ilvl w:val="0"/>
          <w:numId w:val="8"/>
        </w:numPr>
      </w:pPr>
      <w:r w:rsidRPr="001D46D7">
        <w:t>Institutional openness: State institutions on gender, GBV, disability, and human rights are accessible, responsive, and collaborate with civil society, including smaller women-led OPDs.</w:t>
      </w:r>
    </w:p>
    <w:p w14:paraId="44B423EA" w14:textId="77777777" w:rsidR="001D46D7" w:rsidRDefault="001D46D7" w:rsidP="00953128">
      <w:pPr>
        <w:pStyle w:val="Paragraphedeliste"/>
        <w:numPr>
          <w:ilvl w:val="0"/>
          <w:numId w:val="8"/>
        </w:numPr>
      </w:pPr>
      <w:r w:rsidRPr="001D46D7">
        <w:t>Recognition of lived expertise: Women with disabilities are treated as experts, designing and facilitating trainings with tailored support, sharing firsthand insights on barriers and rights.</w:t>
      </w:r>
    </w:p>
    <w:p w14:paraId="78B3EEAA" w14:textId="77777777" w:rsidR="001D46D7" w:rsidRDefault="001D46D7" w:rsidP="00953128">
      <w:pPr>
        <w:pStyle w:val="Paragraphedeliste"/>
        <w:numPr>
          <w:ilvl w:val="0"/>
          <w:numId w:val="8"/>
        </w:numPr>
      </w:pPr>
      <w:r w:rsidRPr="001D46D7">
        <w:t>Inclusive institutional practices: Trained institutions implement concrete steps—using Washington Group Questions, improving accessibility, raising staff awareness, and recruiting women with disabilities.</w:t>
      </w:r>
    </w:p>
    <w:p w14:paraId="273A0ED3" w14:textId="1EB67034" w:rsidR="006A6DCB" w:rsidRPr="00773ABF" w:rsidRDefault="1AF58F61" w:rsidP="00953128">
      <w:pPr>
        <w:pStyle w:val="Titre3"/>
        <w:numPr>
          <w:ilvl w:val="0"/>
          <w:numId w:val="13"/>
        </w:numPr>
        <w:rPr>
          <w:rStyle w:val="Titre3Car"/>
          <w:lang w:val="en-US"/>
        </w:rPr>
      </w:pPr>
      <w:r w:rsidRPr="00DC07E8">
        <w:rPr>
          <w:rStyle w:val="Titre3Car"/>
          <w:lang w:val="en-US"/>
        </w:rPr>
        <w:lastRenderedPageBreak/>
        <w:t xml:space="preserve">Training of Police and Justice services: </w:t>
      </w:r>
      <w:r w:rsidR="006A221C">
        <w:rPr>
          <w:rStyle w:val="Titre3Car"/>
          <w:lang w:val="en-US"/>
        </w:rPr>
        <w:t xml:space="preserve">a </w:t>
      </w:r>
      <w:r w:rsidR="7A79AD4C" w:rsidRPr="00DC07E8">
        <w:rPr>
          <w:rStyle w:val="Titre3Car"/>
          <w:lang w:val="en-US"/>
        </w:rPr>
        <w:t>good practice from Malawi</w:t>
      </w:r>
      <w:r w:rsidR="10AD0DD1" w:rsidRPr="00DC07E8">
        <w:rPr>
          <w:rStyle w:val="Titre3Car"/>
          <w:lang w:val="en-US"/>
        </w:rPr>
        <w:t xml:space="preserve"> </w:t>
      </w:r>
    </w:p>
    <w:p w14:paraId="739979FC" w14:textId="17A7CF4B" w:rsidR="00F80AA4" w:rsidRDefault="2CDA58CF" w:rsidP="00031309">
      <w:r w:rsidRPr="491F701C">
        <w:rPr>
          <w:b/>
          <w:bCs/>
        </w:rPr>
        <w:t>F</w:t>
      </w:r>
      <w:r w:rsidR="58DC2D61" w:rsidRPr="491F701C">
        <w:rPr>
          <w:b/>
          <w:bCs/>
        </w:rPr>
        <w:t>rom 2016 to 2019, DIWA</w:t>
      </w:r>
      <w:r w:rsidR="23524D4D" w:rsidRPr="491F701C">
        <w:rPr>
          <w:b/>
          <w:bCs/>
        </w:rPr>
        <w:t xml:space="preserve"> (Disabled Women in Africa)</w:t>
      </w:r>
      <w:r w:rsidR="23524D4D">
        <w:t xml:space="preserve"> trained Justice and Police professionals </w:t>
      </w:r>
      <w:r w:rsidR="7E180554">
        <w:t xml:space="preserve">(through the ‘Victim Special Units’) on </w:t>
      </w:r>
      <w:r w:rsidR="107D8182">
        <w:t xml:space="preserve">gender and </w:t>
      </w:r>
      <w:r w:rsidR="7E180554">
        <w:t>disability data disaggregation</w:t>
      </w:r>
      <w:r w:rsidR="7BE2D57B">
        <w:t xml:space="preserve">. </w:t>
      </w:r>
      <w:r w:rsidR="000F6DB1">
        <w:t>T</w:t>
      </w:r>
      <w:r w:rsidR="7BE2D57B">
        <w:t xml:space="preserve">he Police has been further integrating </w:t>
      </w:r>
      <w:r w:rsidR="25D3D95D">
        <w:t>the Washington Group Short Set</w:t>
      </w:r>
      <w:r w:rsidR="000F6DB1">
        <w:t xml:space="preserve"> of Questions (WGSS)</w:t>
      </w:r>
      <w:r w:rsidR="25D3D95D">
        <w:t xml:space="preserve"> when dealing with GBV cases. </w:t>
      </w:r>
      <w:r w:rsidR="5CB2DC0A">
        <w:t xml:space="preserve">The Observatory Hub run by Malawi National Statistics Office reflects on </w:t>
      </w:r>
      <w:hyperlink r:id="rId11">
        <w:r w:rsidR="5CB2DC0A" w:rsidRPr="491F701C">
          <w:rPr>
            <w:rStyle w:val="Lienhypertexte"/>
          </w:rPr>
          <w:t>disability disaggregation</w:t>
        </w:r>
      </w:hyperlink>
      <w:r w:rsidR="5CB2DC0A">
        <w:t xml:space="preserve"> for cases of GBV reported.</w:t>
      </w:r>
      <w:r w:rsidR="2AF714BD">
        <w:t xml:space="preserve"> By producing disaggregated data at the national level, these efforts are helping to make violence against women and girls with disabilities visible and quantifiable. </w:t>
      </w:r>
    </w:p>
    <w:p w14:paraId="66F736C6" w14:textId="77777777" w:rsidR="00497836" w:rsidRPr="00BB17ED" w:rsidRDefault="00497836" w:rsidP="00497836">
      <w:pPr>
        <w:pStyle w:val="Titre3"/>
        <w:numPr>
          <w:ilvl w:val="0"/>
          <w:numId w:val="13"/>
        </w:numPr>
        <w:rPr>
          <w:rStyle w:val="Titre3Car"/>
          <w:lang w:val="en-US"/>
        </w:rPr>
      </w:pPr>
      <w:r w:rsidRPr="00BB17ED">
        <w:rPr>
          <w:rStyle w:val="Titre3Car"/>
          <w:lang w:val="en-US"/>
        </w:rPr>
        <w:t>Ensuring the right to legal identity</w:t>
      </w:r>
      <w:r>
        <w:rPr>
          <w:rStyle w:val="Titre3Car"/>
          <w:lang w:val="en-US"/>
        </w:rPr>
        <w:t xml:space="preserve"> for all children</w:t>
      </w:r>
      <w:r w:rsidRPr="00BB17ED">
        <w:rPr>
          <w:rStyle w:val="Titre3Car"/>
          <w:lang w:val="en-US"/>
        </w:rPr>
        <w:t>: a good practice from Senegal</w:t>
      </w:r>
    </w:p>
    <w:p w14:paraId="34FD3767" w14:textId="4518E42B" w:rsidR="00497836" w:rsidRPr="009579A3" w:rsidRDefault="00497836" w:rsidP="00497836">
      <w:pPr>
        <w:rPr>
          <w:lang w:val="en-US"/>
        </w:rPr>
      </w:pPr>
      <w:r w:rsidRPr="009579A3">
        <w:rPr>
          <w:b/>
          <w:bCs/>
          <w:lang w:val="en-US"/>
        </w:rPr>
        <w:t>In 2023, the Ziguinchor Brigade for Awareness and Reporting of Human Rights Violations</w:t>
      </w:r>
      <w:r w:rsidRPr="009579A3">
        <w:rPr>
          <w:lang w:val="en-US"/>
        </w:rPr>
        <w:t>, in collaboration with the Departmental Court</w:t>
      </w:r>
      <w:r>
        <w:rPr>
          <w:lang w:val="en-US"/>
        </w:rPr>
        <w:t xml:space="preserve"> of Justice</w:t>
      </w:r>
      <w:r w:rsidRPr="009579A3">
        <w:rPr>
          <w:lang w:val="en-US"/>
        </w:rPr>
        <w:t xml:space="preserve"> and the Regional Union of</w:t>
      </w:r>
      <w:r w:rsidR="00DD6A18">
        <w:rPr>
          <w:lang w:val="en-US"/>
        </w:rPr>
        <w:t xml:space="preserve"> OPDs </w:t>
      </w:r>
      <w:r w:rsidRPr="009579A3">
        <w:rPr>
          <w:lang w:val="en-US"/>
        </w:rPr>
        <w:t xml:space="preserve">(UROPH), </w:t>
      </w:r>
      <w:r w:rsidRPr="006A221C">
        <w:t>organised</w:t>
      </w:r>
      <w:r w:rsidRPr="009579A3">
        <w:rPr>
          <w:lang w:val="en-US"/>
        </w:rPr>
        <w:t xml:space="preserve"> </w:t>
      </w:r>
      <w:r w:rsidR="00217EF8">
        <w:rPr>
          <w:lang w:val="en-US"/>
        </w:rPr>
        <w:t xml:space="preserve">awareness campaigns in villages and </w:t>
      </w:r>
      <w:r w:rsidRPr="009579A3">
        <w:rPr>
          <w:lang w:val="en-US"/>
        </w:rPr>
        <w:t>mobile court hearings to ensure the civil registration of children</w:t>
      </w:r>
      <w:r w:rsidR="00B54313">
        <w:rPr>
          <w:lang w:val="en-US"/>
        </w:rPr>
        <w:t xml:space="preserve"> </w:t>
      </w:r>
      <w:r w:rsidRPr="009579A3">
        <w:rPr>
          <w:lang w:val="en-US"/>
        </w:rPr>
        <w:t>with disabilities. As a result, 150 children (80 girls and 70 boys) obtained legal identity through supplementary judgments—an essential step towards their recognition and access to rights.</w:t>
      </w:r>
    </w:p>
    <w:p w14:paraId="71432C5A" w14:textId="59A903CF" w:rsidR="00497836" w:rsidRPr="009579A3" w:rsidRDefault="00497836" w:rsidP="00981FA3">
      <w:pPr>
        <w:spacing w:after="0"/>
        <w:rPr>
          <w:lang w:val="en-US"/>
        </w:rPr>
      </w:pPr>
      <w:r w:rsidRPr="009579A3">
        <w:rPr>
          <w:b/>
          <w:bCs/>
          <w:lang w:val="en-US"/>
        </w:rPr>
        <w:t>Key Factors for Success</w:t>
      </w:r>
      <w:r w:rsidR="00557431">
        <w:rPr>
          <w:b/>
          <w:bCs/>
          <w:lang w:val="en-US"/>
        </w:rPr>
        <w:t>:</w:t>
      </w:r>
    </w:p>
    <w:p w14:paraId="390972E7" w14:textId="77777777" w:rsidR="00497836" w:rsidRPr="009579A3" w:rsidRDefault="00497836" w:rsidP="00497836">
      <w:pPr>
        <w:pStyle w:val="Paragraphedeliste"/>
        <w:numPr>
          <w:ilvl w:val="0"/>
          <w:numId w:val="8"/>
        </w:numPr>
      </w:pPr>
      <w:r w:rsidRPr="009579A3">
        <w:t xml:space="preserve">Strong institutional collaboration: </w:t>
      </w:r>
      <w:r>
        <w:t>e</w:t>
      </w:r>
      <w:r w:rsidRPr="009579A3">
        <w:t>ffective coordination between the women-led rights organisation and judicial authorities ensured an inclusive and efficient registration process.</w:t>
      </w:r>
    </w:p>
    <w:p w14:paraId="3A89EBA6" w14:textId="77777777" w:rsidR="00497836" w:rsidRPr="009579A3" w:rsidRDefault="00497836" w:rsidP="00497836">
      <w:pPr>
        <w:pStyle w:val="Paragraphedeliste"/>
        <w:numPr>
          <w:ilvl w:val="0"/>
          <w:numId w:val="8"/>
        </w:numPr>
      </w:pPr>
      <w:r w:rsidRPr="009579A3">
        <w:t xml:space="preserve">Community outreach and awareness: </w:t>
      </w:r>
      <w:r>
        <w:t>d</w:t>
      </w:r>
      <w:r w:rsidRPr="009579A3">
        <w:t>oor-to-door surveys and sensitisation activities raised awareness among parents about the importance of registering children with disabilities.</w:t>
      </w:r>
    </w:p>
    <w:p w14:paraId="77327D20" w14:textId="472DF1E2" w:rsidR="00497836" w:rsidRPr="00934260" w:rsidRDefault="00497836" w:rsidP="00031309">
      <w:pPr>
        <w:pStyle w:val="Paragraphedeliste"/>
        <w:numPr>
          <w:ilvl w:val="0"/>
          <w:numId w:val="8"/>
        </w:numPr>
      </w:pPr>
      <w:r w:rsidRPr="009579A3">
        <w:t xml:space="preserve">Financial and logistical support: </w:t>
      </w:r>
      <w:r>
        <w:t>c</w:t>
      </w:r>
      <w:r w:rsidRPr="009579A3">
        <w:t>overing travel costs removed a major barrier for rural families, guaranteeing equitable access to justice services.</w:t>
      </w:r>
    </w:p>
    <w:p w14:paraId="54366088" w14:textId="1473965D" w:rsidR="004B0B24" w:rsidRPr="00B54313" w:rsidRDefault="004B0B24" w:rsidP="00442DD6">
      <w:pPr>
        <w:pStyle w:val="Titre1"/>
      </w:pPr>
      <w:r w:rsidRPr="00B54313">
        <w:t xml:space="preserve">Ensuring Health Equity: Good practices in promoting inclusive access to healthcare and </w:t>
      </w:r>
      <w:r w:rsidR="00DD6A18" w:rsidRPr="00B54313">
        <w:t>SRH</w:t>
      </w:r>
      <w:r w:rsidRPr="00B54313">
        <w:t xml:space="preserve"> for women with disabilities</w:t>
      </w:r>
    </w:p>
    <w:p w14:paraId="036BD70A" w14:textId="0D68ACC9" w:rsidR="00557431" w:rsidRPr="00557431" w:rsidRDefault="00557431" w:rsidP="00557431">
      <w:pPr>
        <w:pStyle w:val="Titre3"/>
        <w:numPr>
          <w:ilvl w:val="0"/>
          <w:numId w:val="13"/>
        </w:numPr>
        <w:rPr>
          <w:rStyle w:val="Titre3Car"/>
          <w:lang w:val="en-US"/>
        </w:rPr>
      </w:pPr>
      <w:r w:rsidRPr="00557431">
        <w:rPr>
          <w:rStyle w:val="Titre3Car"/>
          <w:lang w:val="en-US"/>
        </w:rPr>
        <w:t xml:space="preserve">Improving </w:t>
      </w:r>
      <w:r w:rsidR="00F03082">
        <w:rPr>
          <w:rStyle w:val="Titre3Car"/>
          <w:lang w:val="en-US"/>
        </w:rPr>
        <w:t>a</w:t>
      </w:r>
      <w:r w:rsidRPr="00557431">
        <w:rPr>
          <w:rStyle w:val="Titre3Car"/>
          <w:lang w:val="en-US"/>
        </w:rPr>
        <w:t xml:space="preserve">ccess to </w:t>
      </w:r>
      <w:r w:rsidR="00F03082">
        <w:rPr>
          <w:rStyle w:val="Titre3Car"/>
          <w:lang w:val="en-US"/>
        </w:rPr>
        <w:t>i</w:t>
      </w:r>
      <w:r w:rsidRPr="00557431">
        <w:rPr>
          <w:rStyle w:val="Titre3Car"/>
          <w:lang w:val="en-US"/>
        </w:rPr>
        <w:t xml:space="preserve">nclusive </w:t>
      </w:r>
      <w:r w:rsidR="00F03082">
        <w:rPr>
          <w:rStyle w:val="Titre3Car"/>
          <w:lang w:val="en-US"/>
        </w:rPr>
        <w:t>he</w:t>
      </w:r>
      <w:r w:rsidRPr="00557431">
        <w:rPr>
          <w:rStyle w:val="Titre3Car"/>
          <w:lang w:val="en-US"/>
        </w:rPr>
        <w:t xml:space="preserve">alth </w:t>
      </w:r>
      <w:r w:rsidR="00F03082">
        <w:rPr>
          <w:rStyle w:val="Titre3Car"/>
          <w:lang w:val="en-US"/>
        </w:rPr>
        <w:t>c</w:t>
      </w:r>
      <w:r w:rsidRPr="00557431">
        <w:rPr>
          <w:rStyle w:val="Titre3Car"/>
          <w:lang w:val="en-US"/>
        </w:rPr>
        <w:t xml:space="preserve">are: </w:t>
      </w:r>
      <w:r w:rsidR="00F03082">
        <w:rPr>
          <w:rStyle w:val="Titre3Car"/>
          <w:lang w:val="en-US"/>
        </w:rPr>
        <w:t>a</w:t>
      </w:r>
      <w:r w:rsidRPr="00557431">
        <w:rPr>
          <w:rStyle w:val="Titre3Car"/>
          <w:lang w:val="en-US"/>
        </w:rPr>
        <w:t xml:space="preserve"> </w:t>
      </w:r>
      <w:r w:rsidR="00F03082">
        <w:rPr>
          <w:rStyle w:val="Titre3Car"/>
          <w:lang w:val="en-US"/>
        </w:rPr>
        <w:t>g</w:t>
      </w:r>
      <w:r w:rsidRPr="00557431">
        <w:rPr>
          <w:rStyle w:val="Titre3Car"/>
          <w:lang w:val="en-US"/>
        </w:rPr>
        <w:t xml:space="preserve">ood </w:t>
      </w:r>
      <w:r w:rsidR="00F03082">
        <w:rPr>
          <w:rStyle w:val="Titre3Car"/>
          <w:lang w:val="en-US"/>
        </w:rPr>
        <w:t>p</w:t>
      </w:r>
      <w:r w:rsidRPr="00557431">
        <w:rPr>
          <w:rStyle w:val="Titre3Car"/>
          <w:lang w:val="en-US"/>
        </w:rPr>
        <w:t>ractice from Senegal</w:t>
      </w:r>
    </w:p>
    <w:p w14:paraId="5B25468A" w14:textId="14D927EF" w:rsidR="00557431" w:rsidRPr="00557431" w:rsidRDefault="00557431" w:rsidP="00557431">
      <w:pPr>
        <w:rPr>
          <w:lang w:val="en-US"/>
        </w:rPr>
      </w:pPr>
      <w:r w:rsidRPr="00557431">
        <w:rPr>
          <w:b/>
          <w:bCs/>
          <w:lang w:val="en-US"/>
        </w:rPr>
        <w:t xml:space="preserve">Since 2023, the Ziguinchor Brigade for Awareness and Reporting of Human Rights Violations </w:t>
      </w:r>
      <w:r w:rsidRPr="00557431">
        <w:rPr>
          <w:lang w:val="en-US"/>
        </w:rPr>
        <w:t xml:space="preserve">has partnered with the Regional Hospital Directorate of </w:t>
      </w:r>
      <w:r w:rsidR="00F03082">
        <w:rPr>
          <w:lang w:val="en-US"/>
        </w:rPr>
        <w:t>the Peace Hospital</w:t>
      </w:r>
      <w:r w:rsidRPr="00557431">
        <w:rPr>
          <w:lang w:val="en-US"/>
        </w:rPr>
        <w:t xml:space="preserve"> to improve health care access for women with disabilities. Using the </w:t>
      </w:r>
      <w:r w:rsidRPr="00557431">
        <w:rPr>
          <w:i/>
          <w:iCs/>
          <w:lang w:val="en-US"/>
        </w:rPr>
        <w:t>Accessibility Assessment Tool</w:t>
      </w:r>
      <w:r w:rsidRPr="00557431">
        <w:rPr>
          <w:lang w:val="en-US"/>
        </w:rPr>
        <w:t xml:space="preserve"> developed by HI–Making It Work, an audit identified key barriers and led to tangible improvements, including an accessible maternity bed, better lighting and parking, and a designated Sign Language interpreter. In 2024, midwives and nurses were trained on inclusive care, followed in 2025 by training on informed consent for women with disabilities.</w:t>
      </w:r>
    </w:p>
    <w:p w14:paraId="7F95EAF8" w14:textId="77777777" w:rsidR="00497129" w:rsidRDefault="00557431" w:rsidP="00497129">
      <w:pPr>
        <w:spacing w:after="0"/>
        <w:rPr>
          <w:b/>
          <w:bCs/>
          <w:lang w:val="en-US"/>
        </w:rPr>
      </w:pPr>
      <w:r w:rsidRPr="00557431">
        <w:rPr>
          <w:b/>
          <w:bCs/>
          <w:lang w:val="en-US"/>
        </w:rPr>
        <w:t xml:space="preserve">Key </w:t>
      </w:r>
      <w:r>
        <w:rPr>
          <w:b/>
          <w:bCs/>
          <w:lang w:val="en-US"/>
        </w:rPr>
        <w:t>f</w:t>
      </w:r>
      <w:r w:rsidRPr="00557431">
        <w:rPr>
          <w:b/>
          <w:bCs/>
          <w:lang w:val="en-US"/>
        </w:rPr>
        <w:t xml:space="preserve">actors for </w:t>
      </w:r>
      <w:r>
        <w:rPr>
          <w:b/>
          <w:bCs/>
          <w:lang w:val="en-US"/>
        </w:rPr>
        <w:t>s</w:t>
      </w:r>
      <w:r w:rsidRPr="00557431">
        <w:rPr>
          <w:b/>
          <w:bCs/>
          <w:lang w:val="en-US"/>
        </w:rPr>
        <w:t>uccess</w:t>
      </w:r>
      <w:r>
        <w:rPr>
          <w:b/>
          <w:bCs/>
          <w:lang w:val="en-US"/>
        </w:rPr>
        <w:t>:</w:t>
      </w:r>
    </w:p>
    <w:p w14:paraId="41E5C5E7" w14:textId="07CDDCA2" w:rsidR="00557431" w:rsidRPr="00497129" w:rsidRDefault="00557431" w:rsidP="00497129">
      <w:pPr>
        <w:pStyle w:val="Paragraphedeliste"/>
        <w:numPr>
          <w:ilvl w:val="0"/>
          <w:numId w:val="29"/>
        </w:numPr>
        <w:spacing w:after="0"/>
        <w:rPr>
          <w:b/>
          <w:bCs/>
          <w:lang w:val="en-US"/>
        </w:rPr>
      </w:pPr>
      <w:r w:rsidRPr="00497129">
        <w:rPr>
          <w:rFonts w:ascii="Aptos" w:eastAsia="Aptos" w:hAnsi="Aptos" w:cs="Aptos"/>
        </w:rPr>
        <w:t>Strong partnership: collaboration between the women-led Brigade and hospital authorities ensured commitment and follow-up.</w:t>
      </w:r>
    </w:p>
    <w:p w14:paraId="26E5FDAB" w14:textId="3BA505ED" w:rsidR="00557431" w:rsidRPr="00557431" w:rsidRDefault="00557431" w:rsidP="00557431">
      <w:pPr>
        <w:pStyle w:val="Paragraphedeliste"/>
        <w:numPr>
          <w:ilvl w:val="0"/>
          <w:numId w:val="3"/>
        </w:numPr>
        <w:spacing w:before="240" w:after="240"/>
        <w:rPr>
          <w:rFonts w:ascii="Aptos" w:eastAsia="Aptos" w:hAnsi="Aptos" w:cs="Aptos"/>
        </w:rPr>
      </w:pPr>
      <w:r w:rsidRPr="00557431">
        <w:rPr>
          <w:rFonts w:ascii="Aptos" w:eastAsia="Aptos" w:hAnsi="Aptos" w:cs="Aptos"/>
        </w:rPr>
        <w:t xml:space="preserve">Evidence-driven change: </w:t>
      </w:r>
      <w:r>
        <w:rPr>
          <w:rFonts w:ascii="Aptos" w:eastAsia="Aptos" w:hAnsi="Aptos" w:cs="Aptos"/>
        </w:rPr>
        <w:t>a</w:t>
      </w:r>
      <w:r w:rsidRPr="00557431">
        <w:rPr>
          <w:rFonts w:ascii="Aptos" w:eastAsia="Aptos" w:hAnsi="Aptos" w:cs="Aptos"/>
        </w:rPr>
        <w:t xml:space="preserve"> standardized assessment tool provided reliable data to guide accessibility measures.</w:t>
      </w:r>
    </w:p>
    <w:p w14:paraId="5B380C95" w14:textId="134668B7" w:rsidR="00C87B07" w:rsidRPr="00200E45" w:rsidRDefault="00557431" w:rsidP="491F701C">
      <w:pPr>
        <w:pStyle w:val="Paragraphedeliste"/>
        <w:numPr>
          <w:ilvl w:val="0"/>
          <w:numId w:val="3"/>
        </w:numPr>
        <w:spacing w:before="240" w:after="240"/>
        <w:rPr>
          <w:rFonts w:ascii="Aptos" w:eastAsia="Aptos" w:hAnsi="Aptos" w:cs="Aptos"/>
        </w:rPr>
      </w:pPr>
      <w:r w:rsidRPr="00557431">
        <w:rPr>
          <w:rFonts w:ascii="Aptos" w:eastAsia="Aptos" w:hAnsi="Aptos" w:cs="Aptos"/>
        </w:rPr>
        <w:lastRenderedPageBreak/>
        <w:t xml:space="preserve">Capacity building: </w:t>
      </w:r>
      <w:r>
        <w:rPr>
          <w:rFonts w:ascii="Aptos" w:eastAsia="Aptos" w:hAnsi="Aptos" w:cs="Aptos"/>
        </w:rPr>
        <w:t>t</w:t>
      </w:r>
      <w:r w:rsidRPr="00557431">
        <w:rPr>
          <w:rFonts w:ascii="Aptos" w:eastAsia="Aptos" w:hAnsi="Aptos" w:cs="Aptos"/>
        </w:rPr>
        <w:t>raining health professionals on inclusive care and informed consent strengthened the delivery of accessible, rights-based services.</w:t>
      </w:r>
    </w:p>
    <w:p w14:paraId="64065161" w14:textId="66E4512E" w:rsidR="007D4D4B" w:rsidRPr="00DC07E8" w:rsidRDefault="70C0D8BD" w:rsidP="00953128">
      <w:pPr>
        <w:pStyle w:val="Titre3"/>
        <w:numPr>
          <w:ilvl w:val="0"/>
          <w:numId w:val="13"/>
        </w:numPr>
        <w:rPr>
          <w:rStyle w:val="Titre3Car"/>
          <w:lang w:val="en-US"/>
        </w:rPr>
      </w:pPr>
      <w:r w:rsidRPr="00DC07E8">
        <w:rPr>
          <w:rStyle w:val="Titre3Car"/>
          <w:lang w:val="en-US"/>
        </w:rPr>
        <w:t>Inclus</w:t>
      </w:r>
      <w:r w:rsidR="024229F3" w:rsidRPr="00DC07E8">
        <w:rPr>
          <w:rStyle w:val="Titre3Car"/>
          <w:lang w:val="en-US"/>
        </w:rPr>
        <w:t>ive antenatal care: a good practice from Uganda</w:t>
      </w:r>
    </w:p>
    <w:p w14:paraId="3AD0CA64" w14:textId="45B293EB" w:rsidR="007D4D4B" w:rsidRPr="00934260" w:rsidRDefault="28317E51" w:rsidP="491F701C">
      <w:pPr>
        <w:spacing w:before="240" w:after="240"/>
      </w:pPr>
      <w:r w:rsidRPr="491F701C">
        <w:rPr>
          <w:rFonts w:ascii="Aptos" w:eastAsia="Aptos" w:hAnsi="Aptos" w:cs="Aptos"/>
          <w:b/>
          <w:bCs/>
        </w:rPr>
        <w:t xml:space="preserve">In 2023–2024, the Lira District Disabled Women Association (LIDDWA) </w:t>
      </w:r>
      <w:r w:rsidRPr="491F701C">
        <w:rPr>
          <w:rFonts w:ascii="Aptos" w:eastAsia="Aptos" w:hAnsi="Aptos" w:cs="Aptos"/>
        </w:rPr>
        <w:t>implemented culturally, gender- and disability-sensitive antenatal classes in rural community health facilities a</w:t>
      </w:r>
      <w:r w:rsidR="00D34D21">
        <w:rPr>
          <w:rFonts w:ascii="Aptos" w:eastAsia="Aptos" w:hAnsi="Aptos" w:cs="Aptos"/>
        </w:rPr>
        <w:t xml:space="preserve">cross </w:t>
      </w:r>
      <w:r w:rsidRPr="491F701C">
        <w:rPr>
          <w:rFonts w:ascii="Aptos" w:eastAsia="Aptos" w:hAnsi="Aptos" w:cs="Aptos"/>
        </w:rPr>
        <w:t xml:space="preserve">Lira District. Conducted in collaboration with midwives, doctors, and community health workers, these sessions addressed key issues related to pregnancy among women and adolescent girls with disabilities. The initiative improved knowledge and health-seeking behaviours, enhanced access to inclusive health services, and helped reduce stigma and discrimination. It also fostered stronger collaboration between healthcare providers, women with disabilities, and their representative </w:t>
      </w:r>
      <w:r w:rsidR="00334370">
        <w:rPr>
          <w:rFonts w:ascii="Aptos" w:eastAsia="Aptos" w:hAnsi="Aptos" w:cs="Aptos"/>
        </w:rPr>
        <w:t>OPDs</w:t>
      </w:r>
      <w:r w:rsidRPr="491F701C">
        <w:rPr>
          <w:rFonts w:ascii="Aptos" w:eastAsia="Aptos" w:hAnsi="Aptos" w:cs="Aptos"/>
        </w:rPr>
        <w:t>.</w:t>
      </w:r>
    </w:p>
    <w:p w14:paraId="3D25AD54" w14:textId="77777777" w:rsidR="00497129" w:rsidRDefault="28317E51" w:rsidP="00497129">
      <w:pPr>
        <w:spacing w:after="0"/>
      </w:pPr>
      <w:r w:rsidRPr="491F701C">
        <w:rPr>
          <w:rFonts w:ascii="Aptos" w:eastAsia="Aptos" w:hAnsi="Aptos" w:cs="Aptos"/>
          <w:b/>
          <w:bCs/>
        </w:rPr>
        <w:t xml:space="preserve">Key </w:t>
      </w:r>
      <w:r w:rsidR="0DFFF424" w:rsidRPr="491F701C">
        <w:rPr>
          <w:rFonts w:ascii="Aptos" w:eastAsia="Aptos" w:hAnsi="Aptos" w:cs="Aptos"/>
          <w:b/>
          <w:bCs/>
        </w:rPr>
        <w:t>f</w:t>
      </w:r>
      <w:r w:rsidRPr="491F701C">
        <w:rPr>
          <w:rFonts w:ascii="Aptos" w:eastAsia="Aptos" w:hAnsi="Aptos" w:cs="Aptos"/>
          <w:b/>
          <w:bCs/>
        </w:rPr>
        <w:t xml:space="preserve">actors for </w:t>
      </w:r>
      <w:r w:rsidR="21135F46" w:rsidRPr="491F701C">
        <w:rPr>
          <w:rFonts w:ascii="Aptos" w:eastAsia="Aptos" w:hAnsi="Aptos" w:cs="Aptos"/>
          <w:b/>
          <w:bCs/>
        </w:rPr>
        <w:t>s</w:t>
      </w:r>
      <w:r w:rsidRPr="491F701C">
        <w:rPr>
          <w:rFonts w:ascii="Aptos" w:eastAsia="Aptos" w:hAnsi="Aptos" w:cs="Aptos"/>
          <w:b/>
          <w:bCs/>
        </w:rPr>
        <w:t>uccess</w:t>
      </w:r>
      <w:r w:rsidR="7054A8EA" w:rsidRPr="491F701C">
        <w:rPr>
          <w:rFonts w:ascii="Aptos" w:eastAsia="Aptos" w:hAnsi="Aptos" w:cs="Aptos"/>
          <w:b/>
          <w:bCs/>
        </w:rPr>
        <w:t>:</w:t>
      </w:r>
    </w:p>
    <w:p w14:paraId="5121CAAB" w14:textId="01C6A7F2" w:rsidR="007D4D4B" w:rsidRPr="00D34D21" w:rsidRDefault="28317E51" w:rsidP="00497129">
      <w:pPr>
        <w:pStyle w:val="Paragraphedeliste"/>
        <w:numPr>
          <w:ilvl w:val="0"/>
          <w:numId w:val="29"/>
        </w:numPr>
        <w:spacing w:after="0"/>
      </w:pPr>
      <w:r w:rsidRPr="00497129">
        <w:rPr>
          <w:rFonts w:ascii="Aptos" w:eastAsia="Aptos" w:hAnsi="Aptos" w:cs="Aptos"/>
        </w:rPr>
        <w:t xml:space="preserve">Strategic partnership: </w:t>
      </w:r>
      <w:r w:rsidR="4E486209" w:rsidRPr="00497129">
        <w:rPr>
          <w:rFonts w:ascii="Aptos" w:eastAsia="Aptos" w:hAnsi="Aptos" w:cs="Aptos"/>
        </w:rPr>
        <w:t>c</w:t>
      </w:r>
      <w:r w:rsidRPr="00497129">
        <w:rPr>
          <w:rFonts w:ascii="Aptos" w:eastAsia="Aptos" w:hAnsi="Aptos" w:cs="Aptos"/>
        </w:rPr>
        <w:t>ollaboration with the local branch of Reproductive Health Uganda strengthened outreach and service delivery.</w:t>
      </w:r>
    </w:p>
    <w:p w14:paraId="594B8580" w14:textId="005CBA54" w:rsidR="00D34D21" w:rsidRPr="00D34D21" w:rsidRDefault="00D34D21" w:rsidP="00D34D21">
      <w:pPr>
        <w:pStyle w:val="Paragraphedeliste"/>
        <w:numPr>
          <w:ilvl w:val="0"/>
          <w:numId w:val="29"/>
        </w:numPr>
        <w:spacing w:before="240" w:after="240"/>
        <w:rPr>
          <w:rFonts w:ascii="Aptos" w:eastAsia="Aptos" w:hAnsi="Aptos" w:cs="Aptos"/>
        </w:rPr>
      </w:pPr>
      <w:r w:rsidRPr="491F701C">
        <w:rPr>
          <w:rFonts w:ascii="Aptos" w:eastAsia="Aptos" w:hAnsi="Aptos" w:cs="Aptos"/>
        </w:rPr>
        <w:t>Targeted outreach: four community-based clinics were organized specifically for women and adolescent girls with disabilities, ensuring localized and accessible care.</w:t>
      </w:r>
    </w:p>
    <w:p w14:paraId="7C975853" w14:textId="774250A4" w:rsidR="007D4D4B" w:rsidRPr="00D34D21" w:rsidRDefault="28317E51" w:rsidP="00D34D21">
      <w:pPr>
        <w:pStyle w:val="Paragraphedeliste"/>
        <w:numPr>
          <w:ilvl w:val="0"/>
          <w:numId w:val="3"/>
        </w:numPr>
        <w:spacing w:before="240" w:after="240"/>
        <w:rPr>
          <w:rFonts w:ascii="Aptos" w:eastAsia="Aptos" w:hAnsi="Aptos" w:cs="Aptos"/>
        </w:rPr>
      </w:pPr>
      <w:r w:rsidRPr="491F701C">
        <w:rPr>
          <w:rFonts w:ascii="Aptos" w:eastAsia="Aptos" w:hAnsi="Aptos" w:cs="Aptos"/>
        </w:rPr>
        <w:t>Effective referral system: LIDDWA facilitated the orientation of women with disabilities seeking antenatal care, with Reproductive Health Uganda providing official referral forms</w:t>
      </w:r>
      <w:r w:rsidR="00D34D21">
        <w:rPr>
          <w:rFonts w:ascii="Aptos" w:eastAsia="Aptos" w:hAnsi="Aptos" w:cs="Aptos"/>
        </w:rPr>
        <w:t>. W</w:t>
      </w:r>
      <w:r w:rsidRPr="00D34D21">
        <w:rPr>
          <w:rFonts w:ascii="Aptos" w:eastAsia="Aptos" w:hAnsi="Aptos" w:cs="Aptos"/>
        </w:rPr>
        <w:t>omen referred through LIDDWA received antenatal services at subsidi</w:t>
      </w:r>
      <w:r w:rsidR="24BD4B62" w:rsidRPr="00D34D21">
        <w:rPr>
          <w:rFonts w:ascii="Aptos" w:eastAsia="Aptos" w:hAnsi="Aptos" w:cs="Aptos"/>
        </w:rPr>
        <w:t>s</w:t>
      </w:r>
      <w:r w:rsidRPr="00D34D21">
        <w:rPr>
          <w:rFonts w:ascii="Aptos" w:eastAsia="Aptos" w:hAnsi="Aptos" w:cs="Aptos"/>
        </w:rPr>
        <w:t>ed costs, removing key financial barriers.</w:t>
      </w:r>
    </w:p>
    <w:p w14:paraId="66C27F2E" w14:textId="1E26AC0C" w:rsidR="007D4D4B" w:rsidRPr="005B24D6" w:rsidRDefault="04152467" w:rsidP="00442DD6">
      <w:pPr>
        <w:pStyle w:val="Titre1"/>
        <w:rPr>
          <w:rFonts w:ascii="Times New Roman" w:eastAsia="Times New Roman" w:hAnsi="Times New Roman" w:cs="Times New Roman"/>
          <w:sz w:val="22"/>
          <w:szCs w:val="22"/>
        </w:rPr>
      </w:pPr>
      <w:r w:rsidRPr="005B24D6">
        <w:t>Empowering for Economic Justice: Good practices in economic empowerment and financial literacy by and for women with disabilities</w:t>
      </w:r>
    </w:p>
    <w:p w14:paraId="4E95EA77" w14:textId="6C21D2F7" w:rsidR="007D4D4B" w:rsidRPr="00773ABF" w:rsidRDefault="631EC382" w:rsidP="00953128">
      <w:pPr>
        <w:pStyle w:val="Titre3"/>
        <w:numPr>
          <w:ilvl w:val="0"/>
          <w:numId w:val="13"/>
        </w:numPr>
        <w:rPr>
          <w:rStyle w:val="Titre3Car"/>
          <w:lang w:val="en-US"/>
        </w:rPr>
      </w:pPr>
      <w:r w:rsidRPr="00DC07E8">
        <w:rPr>
          <w:rStyle w:val="Titre3Car"/>
          <w:lang w:val="en-US"/>
        </w:rPr>
        <w:t xml:space="preserve">Replication of </w:t>
      </w:r>
      <w:r w:rsidR="1B375365" w:rsidRPr="00DC07E8">
        <w:rPr>
          <w:rStyle w:val="Titre3Car"/>
          <w:lang w:val="en-US"/>
        </w:rPr>
        <w:t xml:space="preserve">inclusive </w:t>
      </w:r>
      <w:r w:rsidRPr="00DC07E8">
        <w:rPr>
          <w:rStyle w:val="Titre3Car"/>
          <w:lang w:val="en-US"/>
        </w:rPr>
        <w:t>Savings</w:t>
      </w:r>
      <w:r w:rsidR="1B375365" w:rsidRPr="00DC07E8">
        <w:rPr>
          <w:rStyle w:val="Titre3Car"/>
          <w:lang w:val="en-US"/>
        </w:rPr>
        <w:t xml:space="preserve"> and Credit Groups: a good practice from Togo</w:t>
      </w:r>
    </w:p>
    <w:p w14:paraId="3C367F0C" w14:textId="05B5B605" w:rsidR="00005F66" w:rsidRDefault="550304C0" w:rsidP="00C14FFF">
      <w:r w:rsidRPr="491F701C">
        <w:rPr>
          <w:b/>
          <w:bCs/>
        </w:rPr>
        <w:t>S</w:t>
      </w:r>
      <w:r w:rsidR="79080162" w:rsidRPr="491F701C">
        <w:rPr>
          <w:b/>
          <w:bCs/>
        </w:rPr>
        <w:t>ince 2021, APROFEHTO (Association for the Promotion of Women with Disabilities in Togo)</w:t>
      </w:r>
      <w:r w:rsidR="79080162">
        <w:t xml:space="preserve"> has set up more than 150 ‘Savings and Credit Groups’ (SCGs) made up of women with disabilities and mothers of children with disabilities. These inclusive SCGs aim to remedy the lack of inclusion of women with disabilities in traditional savings and credit mechanisms and to strengthen their autonomy and financial education. More than 950 women with disabilities and mothers of children with disabilities have been trained in financial management and income-generating activities, as well as their rights and the prevention of GBV. </w:t>
      </w:r>
    </w:p>
    <w:p w14:paraId="3391D3C7" w14:textId="3388FF93" w:rsidR="00DC3A6C" w:rsidRDefault="6CD6D6BD" w:rsidP="00981FA3">
      <w:pPr>
        <w:spacing w:after="0"/>
        <w:rPr>
          <w:b/>
          <w:bCs/>
        </w:rPr>
      </w:pPr>
      <w:r w:rsidRPr="491F701C">
        <w:rPr>
          <w:b/>
          <w:bCs/>
        </w:rPr>
        <w:t>K</w:t>
      </w:r>
      <w:r w:rsidR="5CB67ACD" w:rsidRPr="491F701C">
        <w:rPr>
          <w:b/>
          <w:bCs/>
        </w:rPr>
        <w:t>ey factors for success:</w:t>
      </w:r>
    </w:p>
    <w:p w14:paraId="63A48565" w14:textId="77777777" w:rsidR="00981FA3" w:rsidRPr="00981FA3" w:rsidRDefault="00981FA3" w:rsidP="00953128">
      <w:pPr>
        <w:pStyle w:val="Paragraphedeliste"/>
        <w:numPr>
          <w:ilvl w:val="0"/>
          <w:numId w:val="10"/>
        </w:numPr>
      </w:pPr>
      <w:r w:rsidRPr="00981FA3">
        <w:t>Peer leadership: trained women with disabilities became leaders, managing SCGs and training others to start new groups.</w:t>
      </w:r>
    </w:p>
    <w:p w14:paraId="64234C22" w14:textId="199636C7" w:rsidR="00981FA3" w:rsidRPr="00981FA3" w:rsidRDefault="00981FA3" w:rsidP="00953128">
      <w:pPr>
        <w:pStyle w:val="Paragraphedeliste"/>
        <w:numPr>
          <w:ilvl w:val="0"/>
          <w:numId w:val="10"/>
        </w:numPr>
      </w:pPr>
      <w:r w:rsidRPr="00981FA3">
        <w:t>Strategic partnerships: collaboration with WILDAF Togo expanded training opportunities and boosted visibility and credibility.</w:t>
      </w:r>
      <w:r w:rsidR="00334370">
        <w:t xml:space="preserve"> A</w:t>
      </w:r>
      <w:r w:rsidR="00334370" w:rsidRPr="00981FA3">
        <w:t xml:space="preserve">uthorities, especially the Department of Social Affairs, </w:t>
      </w:r>
      <w:r w:rsidR="00334370">
        <w:t xml:space="preserve">also </w:t>
      </w:r>
      <w:r w:rsidR="00334370" w:rsidRPr="00981FA3">
        <w:t>provided meeting spaces and logistical assistance.</w:t>
      </w:r>
    </w:p>
    <w:p w14:paraId="1DE36273" w14:textId="53C30EC8" w:rsidR="00981FA3" w:rsidRPr="00981FA3" w:rsidRDefault="00981FA3" w:rsidP="00334370">
      <w:pPr>
        <w:pStyle w:val="Paragraphedeliste"/>
        <w:numPr>
          <w:ilvl w:val="0"/>
          <w:numId w:val="10"/>
        </w:numPr>
      </w:pPr>
      <w:r w:rsidRPr="00981FA3">
        <w:t>Inclusive services: national GBV staff were trained on women with disabilities’ rights, improving accessibility and support.</w:t>
      </w:r>
    </w:p>
    <w:p w14:paraId="1A76268E" w14:textId="3F6F9B4F" w:rsidR="000033BA" w:rsidRPr="00EE5B2B" w:rsidRDefault="4B316A8D" w:rsidP="00953128">
      <w:pPr>
        <w:pStyle w:val="Titre3"/>
        <w:numPr>
          <w:ilvl w:val="0"/>
          <w:numId w:val="13"/>
        </w:numPr>
        <w:rPr>
          <w:rStyle w:val="Titre3Car"/>
          <w:lang w:val="en-US"/>
        </w:rPr>
      </w:pPr>
      <w:r w:rsidRPr="00EE5B2B">
        <w:rPr>
          <w:rStyle w:val="Titre3Car"/>
          <w:lang w:val="en-US"/>
        </w:rPr>
        <w:lastRenderedPageBreak/>
        <w:t>Fighting ableis</w:t>
      </w:r>
      <w:r w:rsidR="2A75501D" w:rsidRPr="00EE5B2B">
        <w:rPr>
          <w:rStyle w:val="Titre3Car"/>
          <w:lang w:val="en-US"/>
        </w:rPr>
        <w:t>m and sexism in</w:t>
      </w:r>
      <w:r w:rsidRPr="00EE5B2B">
        <w:rPr>
          <w:rStyle w:val="Titre3Car"/>
          <w:lang w:val="en-US"/>
        </w:rPr>
        <w:t xml:space="preserve"> microfinance: a good practice from Benin</w:t>
      </w:r>
    </w:p>
    <w:p w14:paraId="545209AD" w14:textId="5092F3E8" w:rsidR="00921D21" w:rsidRPr="00934260" w:rsidRDefault="7F59A1C9" w:rsidP="003549F3">
      <w:r w:rsidRPr="491F701C">
        <w:rPr>
          <w:b/>
          <w:bCs/>
        </w:rPr>
        <w:t>S</w:t>
      </w:r>
      <w:r w:rsidR="2EFD7F71" w:rsidRPr="491F701C">
        <w:rPr>
          <w:b/>
          <w:bCs/>
        </w:rPr>
        <w:t>ince 2019, the NGO Dédji</w:t>
      </w:r>
      <w:r w:rsidR="2EFD7F71">
        <w:t xml:space="preserve"> has been </w:t>
      </w:r>
      <w:r w:rsidR="00D34D21">
        <w:t xml:space="preserve">transforming the way microfinance institutions (MFIs) treat women with disabilities entrepreneurs, </w:t>
      </w:r>
      <w:r w:rsidR="2EFD7F71">
        <w:t>working with</w:t>
      </w:r>
      <w:r w:rsidR="00D34D21">
        <w:t xml:space="preserve"> five</w:t>
      </w:r>
      <w:r w:rsidR="2EFD7F71">
        <w:t xml:space="preserve"> major </w:t>
      </w:r>
      <w:r w:rsidR="00D34D21">
        <w:t>MFIs</w:t>
      </w:r>
      <w:r w:rsidR="2EFD7F71">
        <w:t xml:space="preserve"> to make their services more inclusive. Twenty managers from these MFIs</w:t>
      </w:r>
      <w:r w:rsidR="6D94885C">
        <w:t xml:space="preserve"> </w:t>
      </w:r>
      <w:r w:rsidR="60CD5B16">
        <w:t>were trained</w:t>
      </w:r>
      <w:r w:rsidR="2EFD7F71">
        <w:t xml:space="preserve"> about the rights of women with disabilities</w:t>
      </w:r>
      <w:r w:rsidR="00D34D21">
        <w:t>, inclusion and accessibility</w:t>
      </w:r>
      <w:r w:rsidR="2EFD7F71">
        <w:t>.</w:t>
      </w:r>
      <w:r w:rsidR="00D34D21">
        <w:t xml:space="preserve"> </w:t>
      </w:r>
      <w:r w:rsidR="2EFD7F71">
        <w:t>After the workshops, one of these MFIs hired 14 new employees with disabilities for its branches.</w:t>
      </w:r>
    </w:p>
    <w:p w14:paraId="09D7F92C" w14:textId="4193F2B3" w:rsidR="00DA0EAB" w:rsidRPr="00F30438" w:rsidRDefault="561FE8FA" w:rsidP="00981FA3">
      <w:pPr>
        <w:spacing w:after="0"/>
        <w:rPr>
          <w:b/>
          <w:bCs/>
        </w:rPr>
      </w:pPr>
      <w:r w:rsidRPr="491F701C">
        <w:rPr>
          <w:b/>
          <w:bCs/>
        </w:rPr>
        <w:t>K</w:t>
      </w:r>
      <w:r w:rsidR="2FC8371E" w:rsidRPr="491F701C">
        <w:rPr>
          <w:b/>
          <w:bCs/>
        </w:rPr>
        <w:t>ey factors for success:</w:t>
      </w:r>
    </w:p>
    <w:p w14:paraId="3E3DB073" w14:textId="77777777" w:rsidR="00981FA3" w:rsidRPr="00981FA3" w:rsidRDefault="00981FA3" w:rsidP="00953128">
      <w:pPr>
        <w:pStyle w:val="Paragraphedeliste"/>
        <w:numPr>
          <w:ilvl w:val="0"/>
          <w:numId w:val="9"/>
        </w:numPr>
      </w:pPr>
      <w:r w:rsidRPr="00981FA3">
        <w:t>Credible leadership: Dédji leaders with disabilities gained MFIs’ trust by showing their cooperatives are profitable and creditworthy.</w:t>
      </w:r>
    </w:p>
    <w:p w14:paraId="6231F98B" w14:textId="61BAD50C" w:rsidR="00981FA3" w:rsidRPr="00981FA3" w:rsidRDefault="00981FA3" w:rsidP="00217EF8">
      <w:pPr>
        <w:pStyle w:val="Paragraphedeliste"/>
        <w:numPr>
          <w:ilvl w:val="0"/>
          <w:numId w:val="9"/>
        </w:numPr>
      </w:pPr>
      <w:r w:rsidRPr="00981FA3">
        <w:t>Strategic partnership: PADME’s</w:t>
      </w:r>
      <w:r w:rsidR="00D34D21">
        <w:t xml:space="preserve"> (</w:t>
      </w:r>
      <w:r w:rsidR="00217EF8">
        <w:t xml:space="preserve">the first MFI to partner with </w:t>
      </w:r>
      <w:proofErr w:type="spellStart"/>
      <w:r w:rsidR="00217EF8">
        <w:t>Dédji</w:t>
      </w:r>
      <w:proofErr w:type="spellEnd"/>
      <w:r w:rsidR="00217EF8">
        <w:t>)</w:t>
      </w:r>
      <w:r w:rsidRPr="00981FA3">
        <w:t xml:space="preserve"> endorsement legitimized </w:t>
      </w:r>
      <w:proofErr w:type="spellStart"/>
      <w:r w:rsidRPr="00981FA3">
        <w:t>Dédji’s</w:t>
      </w:r>
      <w:proofErr w:type="spellEnd"/>
      <w:r w:rsidRPr="00981FA3">
        <w:t xml:space="preserve"> approach and opened doors for wider sector collaboration.</w:t>
      </w:r>
      <w:r w:rsidR="00217EF8">
        <w:t xml:space="preserve"> </w:t>
      </w:r>
      <w:r w:rsidRPr="00981FA3">
        <w:t>PADME’s recommendation helped scale the initiative and establish new partnerships</w:t>
      </w:r>
      <w:r w:rsidR="00217EF8">
        <w:t xml:space="preserve"> with more MFIs</w:t>
      </w:r>
      <w:r w:rsidRPr="00981FA3">
        <w:t>.</w:t>
      </w:r>
    </w:p>
    <w:p w14:paraId="3258B051" w14:textId="6BCF5C21" w:rsidR="00981FA3" w:rsidRPr="00981FA3" w:rsidRDefault="00981FA3" w:rsidP="00981FA3">
      <w:pPr>
        <w:pStyle w:val="Paragraphedeliste"/>
        <w:numPr>
          <w:ilvl w:val="0"/>
          <w:numId w:val="9"/>
        </w:numPr>
      </w:pPr>
      <w:r w:rsidRPr="00981FA3">
        <w:t>Recognition of lived expertise: women leaders with disabilities were acknowledged as experts, leading advocacy and facilitating trainings.</w:t>
      </w:r>
    </w:p>
    <w:p w14:paraId="44972247" w14:textId="3D96CBBD" w:rsidR="00EF1EFE" w:rsidRPr="00DC07E8" w:rsidRDefault="4B316A8D" w:rsidP="00953128">
      <w:pPr>
        <w:pStyle w:val="Titre3"/>
        <w:numPr>
          <w:ilvl w:val="0"/>
          <w:numId w:val="13"/>
        </w:numPr>
        <w:rPr>
          <w:rStyle w:val="Titre3Car"/>
          <w:lang w:val="en-US"/>
        </w:rPr>
      </w:pPr>
      <w:r w:rsidRPr="00DC07E8">
        <w:rPr>
          <w:rStyle w:val="Titre3Car"/>
          <w:lang w:val="en-US"/>
        </w:rPr>
        <w:t>The first West African network of women entrepreneurs with disabilities: a good practice from Benin</w:t>
      </w:r>
    </w:p>
    <w:p w14:paraId="1BA71E33" w14:textId="1443AB5B" w:rsidR="005115C0" w:rsidRPr="00F6036C" w:rsidRDefault="005115C0" w:rsidP="005115C0">
      <w:r w:rsidRPr="005115C0">
        <w:rPr>
          <w:b/>
          <w:bCs/>
        </w:rPr>
        <w:t xml:space="preserve">In 2024, the NGO </w:t>
      </w:r>
      <w:proofErr w:type="spellStart"/>
      <w:r w:rsidRPr="005115C0">
        <w:rPr>
          <w:b/>
          <w:bCs/>
        </w:rPr>
        <w:t>Dédji</w:t>
      </w:r>
      <w:proofErr w:type="spellEnd"/>
      <w:r w:rsidRPr="005115C0">
        <w:t xml:space="preserve"> launched the Network of Women Entrepreneurs and Traders with Disabilities in Benin — a pioneering initiative in West Africa. Bringing together 40 members, the network tackles invisibility, isolation, and barriers to information and financial education, enabling women entrepreneurs with disabilities to organize collective advocacy, share training and experiences, and pool resources to </w:t>
      </w:r>
      <w:r w:rsidRPr="005115C0">
        <w:rPr>
          <w:bCs/>
          <w:lang w:val="en-US"/>
        </w:rPr>
        <w:t>access</w:t>
      </w:r>
      <w:r w:rsidRPr="005115C0">
        <w:t xml:space="preserve"> further opportunities.</w:t>
      </w:r>
    </w:p>
    <w:p w14:paraId="4A6CDDB7" w14:textId="23E80E93" w:rsidR="00981FA3" w:rsidRPr="00981FA3" w:rsidRDefault="718BCE4E" w:rsidP="00981FA3">
      <w:pPr>
        <w:spacing w:after="0" w:line="240" w:lineRule="auto"/>
        <w:rPr>
          <w:b/>
          <w:bCs/>
        </w:rPr>
      </w:pPr>
      <w:r w:rsidRPr="491F701C">
        <w:rPr>
          <w:b/>
          <w:bCs/>
        </w:rPr>
        <w:t>K</w:t>
      </w:r>
      <w:r w:rsidR="474B1DF2" w:rsidRPr="491F701C">
        <w:rPr>
          <w:b/>
          <w:bCs/>
        </w:rPr>
        <w:t>ey factors for success:</w:t>
      </w:r>
    </w:p>
    <w:p w14:paraId="06C6D1A9" w14:textId="77777777" w:rsidR="00981FA3" w:rsidRDefault="00981FA3" w:rsidP="00953128">
      <w:pPr>
        <w:pStyle w:val="Paragraphedeliste"/>
        <w:numPr>
          <w:ilvl w:val="0"/>
          <w:numId w:val="11"/>
        </w:numPr>
        <w:spacing w:after="0" w:line="240" w:lineRule="auto"/>
      </w:pPr>
      <w:r w:rsidRPr="00981FA3">
        <w:t>Inclusive design: created by and for women with disabilities, reflecting their priorities and realities.</w:t>
      </w:r>
    </w:p>
    <w:p w14:paraId="5E378277" w14:textId="77777777" w:rsidR="00981FA3" w:rsidRDefault="00981FA3" w:rsidP="00953128">
      <w:pPr>
        <w:pStyle w:val="Paragraphedeliste"/>
        <w:numPr>
          <w:ilvl w:val="0"/>
          <w:numId w:val="11"/>
        </w:numPr>
        <w:spacing w:after="0" w:line="240" w:lineRule="auto"/>
      </w:pPr>
      <w:r w:rsidRPr="00981FA3">
        <w:t>Accessible outreach: recruitment materials in multiple formats, including sign language, enabled broad participation.</w:t>
      </w:r>
    </w:p>
    <w:p w14:paraId="22A744DD" w14:textId="262BB23F" w:rsidR="00981FA3" w:rsidRPr="00981FA3" w:rsidRDefault="00981FA3" w:rsidP="00953128">
      <w:pPr>
        <w:pStyle w:val="Paragraphedeliste"/>
        <w:numPr>
          <w:ilvl w:val="0"/>
          <w:numId w:val="11"/>
        </w:numPr>
        <w:spacing w:after="0" w:line="240" w:lineRule="auto"/>
      </w:pPr>
      <w:r w:rsidRPr="00981FA3">
        <w:t>Bridging sectors: connected women entrepreneurs with microfinance actors, expanding financial inclusion and collaboration.</w:t>
      </w:r>
    </w:p>
    <w:p w14:paraId="1F251AE5" w14:textId="298B010A" w:rsidR="00EC5549" w:rsidRPr="005B24D6" w:rsidRDefault="5D2B3BBF" w:rsidP="00442DD6">
      <w:pPr>
        <w:pStyle w:val="Titre1"/>
      </w:pPr>
      <w:r w:rsidRPr="005B24D6">
        <w:t xml:space="preserve">‘Nothing Without Us’ </w:t>
      </w:r>
      <w:r w:rsidR="4ECB1D6A" w:rsidRPr="005B24D6">
        <w:t>in Policy</w:t>
      </w:r>
      <w:r w:rsidRPr="005B24D6">
        <w:t>: Good practices on the</w:t>
      </w:r>
      <w:r w:rsidR="1B2C945E" w:rsidRPr="005B24D6">
        <w:t xml:space="preserve"> crucial</w:t>
      </w:r>
      <w:r w:rsidRPr="005B24D6">
        <w:t xml:space="preserve"> participation of women with disabilities in policy-making</w:t>
      </w:r>
    </w:p>
    <w:p w14:paraId="2A9A4DB6" w14:textId="7659C712" w:rsidR="009C67A9" w:rsidRPr="00773ABF" w:rsidRDefault="65A66860" w:rsidP="00953128">
      <w:pPr>
        <w:pStyle w:val="Titre3"/>
        <w:numPr>
          <w:ilvl w:val="0"/>
          <w:numId w:val="13"/>
        </w:numPr>
        <w:rPr>
          <w:rStyle w:val="Titre3Car"/>
          <w:lang w:val="en-US"/>
        </w:rPr>
      </w:pPr>
      <w:r w:rsidRPr="00DC07E8">
        <w:rPr>
          <w:rStyle w:val="Titre3Car"/>
          <w:lang w:val="en-US"/>
        </w:rPr>
        <w:t xml:space="preserve">Shaping the </w:t>
      </w:r>
      <w:r w:rsidR="7FD378AC" w:rsidRPr="00DC07E8">
        <w:rPr>
          <w:rStyle w:val="Titre3Car"/>
          <w:lang w:val="en-US"/>
        </w:rPr>
        <w:t>A</w:t>
      </w:r>
      <w:r w:rsidR="00D34D21">
        <w:rPr>
          <w:rStyle w:val="Titre3Car"/>
          <w:lang w:val="en-US"/>
        </w:rPr>
        <w:t>U</w:t>
      </w:r>
      <w:r w:rsidR="698779F1" w:rsidRPr="00DC07E8">
        <w:rPr>
          <w:rStyle w:val="Titre3Car"/>
          <w:lang w:val="en-US"/>
        </w:rPr>
        <w:t xml:space="preserve"> Convention on</w:t>
      </w:r>
      <w:r w:rsidR="7FD378AC" w:rsidRPr="00DC07E8">
        <w:rPr>
          <w:rStyle w:val="Titre3Car"/>
          <w:lang w:val="en-US"/>
        </w:rPr>
        <w:t xml:space="preserve"> Ending Violence Against Women and Girls</w:t>
      </w:r>
      <w:r w:rsidR="00F03082">
        <w:rPr>
          <w:rStyle w:val="Titre3Car"/>
          <w:lang w:val="en-US"/>
        </w:rPr>
        <w:t xml:space="preserve"> (EVAWG)</w:t>
      </w:r>
    </w:p>
    <w:p w14:paraId="4EC66CA7" w14:textId="6D370109" w:rsidR="00C901B8" w:rsidRDefault="00F03082" w:rsidP="00F03082">
      <w:pPr>
        <w:rPr>
          <w:bCs/>
          <w:lang w:val="en-US"/>
        </w:rPr>
      </w:pPr>
      <w:r w:rsidRPr="00C901B8">
        <w:rPr>
          <w:b/>
          <w:lang w:val="en-US"/>
        </w:rPr>
        <w:t>I</w:t>
      </w:r>
      <w:r w:rsidRPr="00F03082">
        <w:rPr>
          <w:b/>
          <w:lang w:val="en-US"/>
        </w:rPr>
        <w:t>n 2023, Disabled Women in Africa (DIWA)</w:t>
      </w:r>
      <w:r w:rsidRPr="00F03082">
        <w:rPr>
          <w:bCs/>
          <w:lang w:val="en-US"/>
        </w:rPr>
        <w:t xml:space="preserve"> took part in an online consultation on the drafting of the </w:t>
      </w:r>
      <w:hyperlink r:id="rId12" w:history="1">
        <w:r w:rsidRPr="00F03082">
          <w:rPr>
            <w:rStyle w:val="Lienhypertexte"/>
            <w:bCs/>
            <w:lang w:val="en-US"/>
          </w:rPr>
          <w:t>African Union Convention on Ending Violence Against Women and Girls</w:t>
        </w:r>
      </w:hyperlink>
      <w:r w:rsidRPr="00F03082">
        <w:rPr>
          <w:bCs/>
          <w:lang w:val="en-US"/>
        </w:rPr>
        <w:t xml:space="preserve"> (EVAWG). DIWA strongly advocated for the Convention to be disability-inclusive, highlighting the continued violence, discrimination, and femicide faced by women and girls with disabilities, including technology-facilitated gender-based violence.</w:t>
      </w:r>
      <w:r w:rsidR="00C901B8">
        <w:rPr>
          <w:bCs/>
          <w:lang w:val="en-US"/>
        </w:rPr>
        <w:t xml:space="preserve"> </w:t>
      </w:r>
    </w:p>
    <w:p w14:paraId="1E8F3C7C" w14:textId="77777777" w:rsidR="00C901B8" w:rsidRPr="00C901B8" w:rsidRDefault="00C901B8" w:rsidP="00C901B8">
      <w:pPr>
        <w:spacing w:after="0" w:line="240" w:lineRule="auto"/>
        <w:rPr>
          <w:b/>
          <w:bCs/>
        </w:rPr>
      </w:pPr>
      <w:r w:rsidRPr="00C901B8">
        <w:rPr>
          <w:b/>
          <w:bCs/>
        </w:rPr>
        <w:t>Key factors for success:</w:t>
      </w:r>
    </w:p>
    <w:p w14:paraId="45D84B16" w14:textId="77777777" w:rsidR="00F03082" w:rsidRPr="00F03082" w:rsidRDefault="00F03082" w:rsidP="00C901B8">
      <w:pPr>
        <w:pStyle w:val="Paragraphedeliste"/>
        <w:numPr>
          <w:ilvl w:val="0"/>
          <w:numId w:val="11"/>
        </w:numPr>
        <w:spacing w:after="0" w:line="240" w:lineRule="auto"/>
      </w:pPr>
      <w:r w:rsidRPr="00F03082">
        <w:t>Strategic and evidence-based advocacy: DIWA combined lived experience with strong data and regional partnerships to make a compelling case for inclusion.</w:t>
      </w:r>
    </w:p>
    <w:p w14:paraId="15C56C54" w14:textId="0BEC4C10" w:rsidR="00F03082" w:rsidRPr="00F03082" w:rsidRDefault="00F03082" w:rsidP="00C901B8">
      <w:pPr>
        <w:pStyle w:val="Paragraphedeliste"/>
        <w:numPr>
          <w:ilvl w:val="0"/>
          <w:numId w:val="11"/>
        </w:numPr>
        <w:spacing w:after="0" w:line="240" w:lineRule="auto"/>
      </w:pPr>
      <w:r w:rsidRPr="00F03082">
        <w:lastRenderedPageBreak/>
        <w:t xml:space="preserve">Collective leadership: </w:t>
      </w:r>
      <w:r w:rsidR="001423FD">
        <w:t>c</w:t>
      </w:r>
      <w:r w:rsidRPr="00F03082">
        <w:t xml:space="preserve">ollaboration with </w:t>
      </w:r>
      <w:r w:rsidR="001423FD">
        <w:t>HI-</w:t>
      </w:r>
      <w:r w:rsidRPr="00F03082">
        <w:t>MIW, WFD, and IDA strengthened visibility and credibility, ensuring women with disabilities’ voices were heard at continental level.</w:t>
      </w:r>
    </w:p>
    <w:p w14:paraId="3045B47D" w14:textId="7D1AEA24" w:rsidR="00643272" w:rsidRPr="00E464C0" w:rsidRDefault="00F03082" w:rsidP="009C67A9">
      <w:pPr>
        <w:pStyle w:val="Paragraphedeliste"/>
        <w:numPr>
          <w:ilvl w:val="0"/>
          <w:numId w:val="11"/>
        </w:numPr>
        <w:spacing w:after="0" w:line="240" w:lineRule="auto"/>
      </w:pPr>
      <w:r w:rsidRPr="00F03082">
        <w:t xml:space="preserve">Tangible policy impact: </w:t>
      </w:r>
      <w:r w:rsidR="001423FD">
        <w:t>t</w:t>
      </w:r>
      <w:r w:rsidRPr="00F03082">
        <w:t>he adoption of Article 7</w:t>
      </w:r>
      <w:r w:rsidR="00617432">
        <w:rPr>
          <w:rStyle w:val="Appelnotedebasdep"/>
        </w:rPr>
        <w:footnoteReference w:id="1"/>
      </w:r>
      <w:r w:rsidRPr="00F03082">
        <w:t xml:space="preserve"> of the </w:t>
      </w:r>
      <w:r w:rsidR="00C901B8">
        <w:t>Convention</w:t>
      </w:r>
      <w:r w:rsidR="001423FD">
        <w:t xml:space="preserve"> on</w:t>
      </w:r>
      <w:r w:rsidR="00C901B8">
        <w:t xml:space="preserve"> </w:t>
      </w:r>
      <w:r w:rsidRPr="00F03082">
        <w:t>EVAWG</w:t>
      </w:r>
      <w:r w:rsidR="00C901B8">
        <w:t>,</w:t>
      </w:r>
      <w:r w:rsidRPr="00F03082">
        <w:t xml:space="preserve"> in February 2025, </w:t>
      </w:r>
      <w:r w:rsidR="00C901B8" w:rsidRPr="00C901B8">
        <w:t xml:space="preserve">is a significant milestone in protecting and empowering women and girls with disabilities across Africa by explicitly recognizing disability. </w:t>
      </w:r>
    </w:p>
    <w:p w14:paraId="65D9F29A" w14:textId="1E864CF4" w:rsidR="001C7552" w:rsidRPr="00773ABF" w:rsidRDefault="2FE7C721" w:rsidP="00953128">
      <w:pPr>
        <w:pStyle w:val="Titre3"/>
        <w:numPr>
          <w:ilvl w:val="0"/>
          <w:numId w:val="13"/>
        </w:numPr>
        <w:rPr>
          <w:rStyle w:val="Titre3Car"/>
          <w:lang w:val="en-US"/>
        </w:rPr>
      </w:pPr>
      <w:r w:rsidRPr="00773ABF">
        <w:rPr>
          <w:rStyle w:val="Titre3Car"/>
          <w:lang w:val="en-US"/>
        </w:rPr>
        <w:t>Inclusive GBV Law Reform: a good practice from Burundi</w:t>
      </w:r>
      <w:r w:rsidR="185524D7" w:rsidRPr="00773ABF">
        <w:rPr>
          <w:rStyle w:val="Titre3Car"/>
          <w:lang w:val="en-US"/>
        </w:rPr>
        <w:t xml:space="preserve"> </w:t>
      </w:r>
    </w:p>
    <w:p w14:paraId="3E0555E6" w14:textId="34925BE1" w:rsidR="001B2646" w:rsidRPr="00934260" w:rsidRDefault="7BB03E15" w:rsidP="0018174A">
      <w:r w:rsidRPr="491F701C">
        <w:rPr>
          <w:b/>
          <w:bCs/>
        </w:rPr>
        <w:t>In 2024, ABPDFH-URUMURI</w:t>
      </w:r>
      <w:r w:rsidR="231CD8DF" w:rsidRPr="491F701C">
        <w:rPr>
          <w:b/>
          <w:bCs/>
        </w:rPr>
        <w:t xml:space="preserve"> (</w:t>
      </w:r>
      <w:r w:rsidR="231CD8DF" w:rsidRPr="00FC2D7F">
        <w:rPr>
          <w:b/>
          <w:bCs/>
          <w:lang w:val="fr-SN"/>
        </w:rPr>
        <w:t xml:space="preserve">Association Burundaise </w:t>
      </w:r>
      <w:r w:rsidR="00FC2D7F" w:rsidRPr="00FC2D7F">
        <w:rPr>
          <w:b/>
          <w:bCs/>
          <w:lang w:val="fr-SN"/>
        </w:rPr>
        <w:t>pour la</w:t>
      </w:r>
      <w:r w:rsidR="231CD8DF" w:rsidRPr="00FC2D7F">
        <w:rPr>
          <w:b/>
          <w:bCs/>
          <w:lang w:val="fr-SN"/>
        </w:rPr>
        <w:t xml:space="preserve"> Promotion des Droits des Femmes Handicapées</w:t>
      </w:r>
      <w:r w:rsidR="231CD8DF" w:rsidRPr="491F701C">
        <w:rPr>
          <w:b/>
          <w:bCs/>
        </w:rPr>
        <w:t>)</w:t>
      </w:r>
      <w:r>
        <w:t>, a</w:t>
      </w:r>
      <w:r w:rsidR="2290C145">
        <w:t>s a member of the Strategic Advocacy Alliance,</w:t>
      </w:r>
      <w:r>
        <w:t xml:space="preserve"> </w:t>
      </w:r>
      <w:r w:rsidR="2290C145">
        <w:t xml:space="preserve">successfully advocated for the inclusion of women with disabilities in the revision of the </w:t>
      </w:r>
      <w:hyperlink r:id="rId13">
        <w:r w:rsidR="2290C145" w:rsidRPr="491F701C">
          <w:rPr>
            <w:rStyle w:val="Lienhypertexte"/>
          </w:rPr>
          <w:t>strategic law on GBV</w:t>
        </w:r>
      </w:hyperlink>
      <w:r w:rsidR="2290C145">
        <w:t>, which was initially adopted in 2016. The draft</w:t>
      </w:r>
      <w:r w:rsidR="2D55B227">
        <w:t xml:space="preserve"> revised</w:t>
      </w:r>
      <w:r w:rsidR="2290C145">
        <w:t xml:space="preserve"> law is now ready to be examined by the Parliament.</w:t>
      </w:r>
      <w:r w:rsidR="2A0B80CE">
        <w:t xml:space="preserve"> </w:t>
      </w:r>
    </w:p>
    <w:p w14:paraId="103D7752" w14:textId="4086A088" w:rsidR="00EC2EAE" w:rsidRDefault="147E0588" w:rsidP="00981FA3">
      <w:pPr>
        <w:spacing w:after="0"/>
        <w:rPr>
          <w:b/>
          <w:bCs/>
        </w:rPr>
      </w:pPr>
      <w:r w:rsidRPr="491F701C">
        <w:rPr>
          <w:b/>
          <w:bCs/>
        </w:rPr>
        <w:t>K</w:t>
      </w:r>
      <w:r w:rsidR="29216AAC" w:rsidRPr="491F701C">
        <w:rPr>
          <w:b/>
          <w:bCs/>
        </w:rPr>
        <w:t>ey factors for success:</w:t>
      </w:r>
    </w:p>
    <w:p w14:paraId="68F9F3F1" w14:textId="6DDBA05A" w:rsidR="007C01D6" w:rsidRPr="007C01D6" w:rsidRDefault="39260683" w:rsidP="00953128">
      <w:pPr>
        <w:pStyle w:val="Paragraphedeliste"/>
        <w:numPr>
          <w:ilvl w:val="0"/>
          <w:numId w:val="11"/>
        </w:numPr>
        <w:spacing w:after="0" w:line="240" w:lineRule="auto"/>
        <w:rPr>
          <w:lang w:val="en-US"/>
        </w:rPr>
      </w:pPr>
      <w:r>
        <w:t xml:space="preserve">Inclusive coalition building: </w:t>
      </w:r>
      <w:r w:rsidR="002A7AF5">
        <w:t>m</w:t>
      </w:r>
      <w:r>
        <w:t xml:space="preserve">embers of the </w:t>
      </w:r>
      <w:r w:rsidR="002A7AF5">
        <w:t xml:space="preserve">Strategic Advocacy </w:t>
      </w:r>
      <w:r>
        <w:t>Alliance recognized the expertise of women leaders with disabilities, ensuring their meaningful participation and visibility within the collective advocacy process.</w:t>
      </w:r>
    </w:p>
    <w:p w14:paraId="656696DE" w14:textId="690DB35D" w:rsidR="008B7944" w:rsidRPr="007C01D6" w:rsidRDefault="008B7944" w:rsidP="00953128">
      <w:pPr>
        <w:pStyle w:val="Paragraphedeliste"/>
        <w:numPr>
          <w:ilvl w:val="0"/>
          <w:numId w:val="11"/>
        </w:numPr>
        <w:spacing w:after="0" w:line="240" w:lineRule="auto"/>
        <w:rPr>
          <w:lang w:val="en-US"/>
        </w:rPr>
      </w:pPr>
      <w:r w:rsidRPr="008B7944">
        <w:t>Government openness and political will: the Ministry of Social Affairs constructively engaged with the Alliance, integrating ABPDFH’s proposals to make the revised GBV law inclusive.</w:t>
      </w:r>
    </w:p>
    <w:p w14:paraId="278ABC2B" w14:textId="717FDF68" w:rsidR="001C7552" w:rsidRPr="00DC07E8" w:rsidRDefault="1878D9C8" w:rsidP="00953128">
      <w:pPr>
        <w:pStyle w:val="Titre3"/>
        <w:numPr>
          <w:ilvl w:val="0"/>
          <w:numId w:val="13"/>
        </w:numPr>
        <w:rPr>
          <w:rStyle w:val="Titre3Car"/>
          <w:lang w:val="en-US"/>
        </w:rPr>
      </w:pPr>
      <w:r w:rsidRPr="00DC07E8">
        <w:rPr>
          <w:rStyle w:val="Titre3Car"/>
          <w:lang w:val="en-US"/>
        </w:rPr>
        <w:t xml:space="preserve">Advocating for the ratification of </w:t>
      </w:r>
      <w:r w:rsidR="64C06183" w:rsidRPr="00DC07E8">
        <w:rPr>
          <w:rStyle w:val="Titre3Car"/>
          <w:lang w:val="en-US"/>
        </w:rPr>
        <w:t>the A</w:t>
      </w:r>
      <w:r w:rsidR="6C00BA12" w:rsidRPr="00DC07E8">
        <w:rPr>
          <w:rStyle w:val="Titre3Car"/>
          <w:lang w:val="en-US"/>
        </w:rPr>
        <w:t>frican</w:t>
      </w:r>
      <w:r w:rsidR="64C06183" w:rsidRPr="00DC07E8">
        <w:rPr>
          <w:rStyle w:val="Titre3Car"/>
          <w:lang w:val="en-US"/>
        </w:rPr>
        <w:t xml:space="preserve"> Disability Protocol</w:t>
      </w:r>
      <w:r w:rsidRPr="00DC07E8">
        <w:rPr>
          <w:rStyle w:val="Titre3Car"/>
          <w:lang w:val="en-US"/>
        </w:rPr>
        <w:t xml:space="preserve">: </w:t>
      </w:r>
      <w:r w:rsidR="00E464C0">
        <w:rPr>
          <w:rStyle w:val="Titre3Car"/>
          <w:lang w:val="en-US"/>
        </w:rPr>
        <w:t>good practices from Senegal and at continental level</w:t>
      </w:r>
    </w:p>
    <w:p w14:paraId="456D4159" w14:textId="07E4AF59" w:rsidR="00B51D3C" w:rsidRDefault="00B51D3C" w:rsidP="0018174A">
      <w:r>
        <w:rPr>
          <w:b/>
          <w:bCs/>
        </w:rPr>
        <w:t>In Senegal</w:t>
      </w:r>
      <w:r>
        <w:t xml:space="preserve">: </w:t>
      </w:r>
      <w:r w:rsidRPr="00B51D3C">
        <w:t xml:space="preserve">In 2024, WILDAF Senegal </w:t>
      </w:r>
      <w:r>
        <w:t>(</w:t>
      </w:r>
      <w:r w:rsidRPr="491F701C">
        <w:rPr>
          <w:b/>
          <w:bCs/>
        </w:rPr>
        <w:t>(Women in Law and Development in Afric</w:t>
      </w:r>
      <w:r>
        <w:rPr>
          <w:b/>
          <w:bCs/>
        </w:rPr>
        <w:t xml:space="preserve">a) </w:t>
      </w:r>
      <w:r w:rsidRPr="00B51D3C">
        <w:t xml:space="preserve">— a disability-inclusive women’s rights organization — led a campaign urging the Government to ratify the African Disability Protocol. To raise awareness and build support among </w:t>
      </w:r>
      <w:r>
        <w:t xml:space="preserve">persons with disabilities, </w:t>
      </w:r>
      <w:r w:rsidRPr="00B51D3C">
        <w:t xml:space="preserve">duty bearers, OPDs, and human rights activists, it disseminated </w:t>
      </w:r>
      <w:hyperlink r:id="rId14">
        <w:r w:rsidR="00EE1DCF" w:rsidRPr="491F701C">
          <w:rPr>
            <w:rStyle w:val="Lienhypertexte"/>
          </w:rPr>
          <w:t>a simplified version of the Protocol</w:t>
        </w:r>
      </w:hyperlink>
      <w:r w:rsidRPr="00B51D3C">
        <w:t>. This inclusive advocacy effort illustrates how awareness-raising can help address intersectional discrimination against women and girls with disabilities.</w:t>
      </w:r>
    </w:p>
    <w:p w14:paraId="0D1180D9" w14:textId="2AFFF390" w:rsidR="006F323D" w:rsidRDefault="00E464C0" w:rsidP="006F323D">
      <w:pPr>
        <w:rPr>
          <w:lang w:val="en-US"/>
        </w:rPr>
      </w:pPr>
      <w:r w:rsidRPr="00E464C0">
        <w:rPr>
          <w:b/>
          <w:bCs/>
        </w:rPr>
        <w:t>At continental level:</w:t>
      </w:r>
      <w:r w:rsidR="006F323D">
        <w:rPr>
          <w:b/>
          <w:bCs/>
        </w:rPr>
        <w:t xml:space="preserve"> </w:t>
      </w:r>
      <w:r w:rsidR="006F323D" w:rsidRPr="006F323D">
        <w:rPr>
          <w:b/>
          <w:bCs/>
          <w:lang w:val="en-US"/>
        </w:rPr>
        <w:t>in 2021, Disabled Women in Africa (DIWA),</w:t>
      </w:r>
      <w:r w:rsidR="006F323D" w:rsidRPr="006F323D">
        <w:rPr>
          <w:lang w:val="en-US"/>
        </w:rPr>
        <w:t xml:space="preserve"> in collaboration with the ADF, led high-level advocacy urging African Union Member States to ratify the African Disability Protocol. Through engagements with the AU Committee on Gender and Women’s Development, DIWA highlighted the Protocol’s gender responsiveness and its potential to advance the rights of women and girls with disabilities.</w:t>
      </w:r>
      <w:r w:rsidR="00781D6D">
        <w:rPr>
          <w:lang w:val="en-US"/>
        </w:rPr>
        <w:t xml:space="preserve"> </w:t>
      </w:r>
      <w:r w:rsidR="006F323D" w:rsidRPr="006F323D">
        <w:rPr>
          <w:lang w:val="en-US"/>
        </w:rPr>
        <w:t xml:space="preserve">As a result, the Committee adopted recommendations reflecting DIWA’s inputs, encouraging Member States to act. </w:t>
      </w:r>
    </w:p>
    <w:p w14:paraId="7A5EDE54" w14:textId="66207154" w:rsidR="1AA6153B" w:rsidRPr="00DC07E8" w:rsidRDefault="1AA6153B" w:rsidP="00953128">
      <w:pPr>
        <w:pStyle w:val="Titre3"/>
        <w:numPr>
          <w:ilvl w:val="0"/>
          <w:numId w:val="13"/>
        </w:numPr>
        <w:rPr>
          <w:rStyle w:val="Titre3Car"/>
          <w:lang w:val="en-US"/>
        </w:rPr>
      </w:pPr>
      <w:r w:rsidRPr="00DC07E8">
        <w:rPr>
          <w:rStyle w:val="Titre3Car"/>
          <w:lang w:val="en-US"/>
        </w:rPr>
        <w:t xml:space="preserve">Promoting disability-inclusive SRHR policies and budgets: a </w:t>
      </w:r>
      <w:r w:rsidR="21966D0D" w:rsidRPr="00DC07E8">
        <w:rPr>
          <w:rStyle w:val="Titre3Car"/>
          <w:lang w:val="en-US"/>
        </w:rPr>
        <w:t>g</w:t>
      </w:r>
      <w:r w:rsidRPr="00DC07E8">
        <w:rPr>
          <w:rStyle w:val="Titre3Car"/>
          <w:lang w:val="en-US"/>
        </w:rPr>
        <w:t xml:space="preserve">ood </w:t>
      </w:r>
      <w:r w:rsidR="10B9C1F1" w:rsidRPr="00DC07E8">
        <w:rPr>
          <w:rStyle w:val="Titre3Car"/>
          <w:lang w:val="en-US"/>
        </w:rPr>
        <w:t>p</w:t>
      </w:r>
      <w:r w:rsidRPr="00DC07E8">
        <w:rPr>
          <w:rStyle w:val="Titre3Car"/>
          <w:lang w:val="en-US"/>
        </w:rPr>
        <w:t>ractice from Uganda</w:t>
      </w:r>
    </w:p>
    <w:p w14:paraId="5C5EA268" w14:textId="65CF1146" w:rsidR="1AA6153B" w:rsidRDefault="1AA6153B" w:rsidP="491F701C">
      <w:pPr>
        <w:spacing w:before="240" w:after="240"/>
        <w:rPr>
          <w:rFonts w:ascii="Aptos" w:eastAsia="Aptos" w:hAnsi="Aptos" w:cs="Aptos"/>
        </w:rPr>
      </w:pPr>
      <w:r w:rsidRPr="491F701C">
        <w:rPr>
          <w:rFonts w:ascii="Aptos" w:eastAsia="Aptos" w:hAnsi="Aptos" w:cs="Aptos"/>
          <w:b/>
          <w:bCs/>
        </w:rPr>
        <w:t>Between 2023 and 2025, Lira District Disabled Women Association (LIDDWA)</w:t>
      </w:r>
      <w:r w:rsidRPr="491F701C">
        <w:rPr>
          <w:rFonts w:ascii="Aptos" w:eastAsia="Aptos" w:hAnsi="Aptos" w:cs="Aptos"/>
        </w:rPr>
        <w:t xml:space="preserve"> engaged policymakers and technical staff at district and sub-county levels</w:t>
      </w:r>
      <w:r w:rsidR="7BB51EFA" w:rsidRPr="491F701C">
        <w:rPr>
          <w:rFonts w:ascii="Aptos" w:eastAsia="Aptos" w:hAnsi="Aptos" w:cs="Aptos"/>
        </w:rPr>
        <w:t xml:space="preserve"> </w:t>
      </w:r>
      <w:r w:rsidRPr="491F701C">
        <w:rPr>
          <w:rFonts w:ascii="Aptos" w:eastAsia="Aptos" w:hAnsi="Aptos" w:cs="Aptos"/>
        </w:rPr>
        <w:t xml:space="preserve">to make the National Policy </w:t>
      </w:r>
      <w:r w:rsidRPr="491F701C">
        <w:rPr>
          <w:rFonts w:ascii="Aptos" w:eastAsia="Aptos" w:hAnsi="Aptos" w:cs="Aptos"/>
        </w:rPr>
        <w:lastRenderedPageBreak/>
        <w:t xml:space="preserve">Guidelines and Service Standards for SRHR more </w:t>
      </w:r>
      <w:r w:rsidR="00334370" w:rsidRPr="491F701C">
        <w:rPr>
          <w:rFonts w:ascii="Aptos" w:eastAsia="Aptos" w:hAnsi="Aptos" w:cs="Aptos"/>
        </w:rPr>
        <w:t>disability</w:t>
      </w:r>
      <w:r w:rsidR="00334370">
        <w:rPr>
          <w:rFonts w:ascii="Aptos" w:eastAsia="Aptos" w:hAnsi="Aptos" w:cs="Aptos"/>
        </w:rPr>
        <w:t>-</w:t>
      </w:r>
      <w:r w:rsidR="00334370" w:rsidRPr="491F701C">
        <w:rPr>
          <w:rFonts w:ascii="Aptos" w:eastAsia="Aptos" w:hAnsi="Aptos" w:cs="Aptos"/>
        </w:rPr>
        <w:t>inclusive</w:t>
      </w:r>
      <w:r w:rsidRPr="491F701C">
        <w:rPr>
          <w:rFonts w:ascii="Aptos" w:eastAsia="Aptos" w:hAnsi="Aptos" w:cs="Aptos"/>
        </w:rPr>
        <w:t xml:space="preserve">. These sustained advocacy efforts led to increased awareness and commitment to inclusive SRHR, the integration of disability provisions into local government plans and budgets, and stronger collaboration between authorities and </w:t>
      </w:r>
      <w:r w:rsidR="00334370">
        <w:rPr>
          <w:rFonts w:ascii="Aptos" w:eastAsia="Aptos" w:hAnsi="Aptos" w:cs="Aptos"/>
        </w:rPr>
        <w:t>OPDs</w:t>
      </w:r>
      <w:r w:rsidRPr="491F701C">
        <w:rPr>
          <w:rFonts w:ascii="Aptos" w:eastAsia="Aptos" w:hAnsi="Aptos" w:cs="Aptos"/>
        </w:rPr>
        <w:t xml:space="preserve">, while also enhancing the capacities of technical staff and </w:t>
      </w:r>
      <w:r w:rsidR="0B847EB2" w:rsidRPr="491F701C">
        <w:rPr>
          <w:rFonts w:ascii="Aptos" w:eastAsia="Aptos" w:hAnsi="Aptos" w:cs="Aptos"/>
        </w:rPr>
        <w:t>councillors</w:t>
      </w:r>
      <w:r w:rsidRPr="491F701C">
        <w:rPr>
          <w:rFonts w:ascii="Aptos" w:eastAsia="Aptos" w:hAnsi="Aptos" w:cs="Aptos"/>
        </w:rPr>
        <w:t xml:space="preserve"> on inclusive service delivery.</w:t>
      </w:r>
    </w:p>
    <w:p w14:paraId="277F9D60" w14:textId="77777777" w:rsidR="00B926F4" w:rsidRDefault="1AA6153B" w:rsidP="00B926F4">
      <w:pPr>
        <w:spacing w:after="0"/>
        <w:rPr>
          <w:rFonts w:ascii="Aptos" w:eastAsia="Aptos" w:hAnsi="Aptos" w:cs="Aptos"/>
          <w:b/>
          <w:bCs/>
        </w:rPr>
      </w:pPr>
      <w:r w:rsidRPr="491F701C">
        <w:rPr>
          <w:rFonts w:ascii="Aptos" w:eastAsia="Aptos" w:hAnsi="Aptos" w:cs="Aptos"/>
          <w:b/>
          <w:bCs/>
        </w:rPr>
        <w:t xml:space="preserve">Key </w:t>
      </w:r>
      <w:r w:rsidR="2254191C" w:rsidRPr="491F701C">
        <w:rPr>
          <w:rFonts w:ascii="Aptos" w:eastAsia="Aptos" w:hAnsi="Aptos" w:cs="Aptos"/>
          <w:b/>
          <w:bCs/>
        </w:rPr>
        <w:t>f</w:t>
      </w:r>
      <w:r w:rsidRPr="491F701C">
        <w:rPr>
          <w:rFonts w:ascii="Aptos" w:eastAsia="Aptos" w:hAnsi="Aptos" w:cs="Aptos"/>
          <w:b/>
          <w:bCs/>
        </w:rPr>
        <w:t xml:space="preserve">actors for </w:t>
      </w:r>
      <w:r w:rsidR="6D40A181" w:rsidRPr="491F701C">
        <w:rPr>
          <w:rFonts w:ascii="Aptos" w:eastAsia="Aptos" w:hAnsi="Aptos" w:cs="Aptos"/>
          <w:b/>
          <w:bCs/>
        </w:rPr>
        <w:t>s</w:t>
      </w:r>
      <w:r w:rsidRPr="491F701C">
        <w:rPr>
          <w:rFonts w:ascii="Aptos" w:eastAsia="Aptos" w:hAnsi="Aptos" w:cs="Aptos"/>
          <w:b/>
          <w:bCs/>
        </w:rPr>
        <w:t>uccess</w:t>
      </w:r>
      <w:r w:rsidR="2309AAEE" w:rsidRPr="491F701C">
        <w:rPr>
          <w:rFonts w:ascii="Aptos" w:eastAsia="Aptos" w:hAnsi="Aptos" w:cs="Aptos"/>
          <w:b/>
          <w:bCs/>
        </w:rPr>
        <w:t>:</w:t>
      </w:r>
    </w:p>
    <w:p w14:paraId="286C7141" w14:textId="223D13FD" w:rsidR="69651D10" w:rsidRPr="00B926F4" w:rsidRDefault="69651D10" w:rsidP="00B926F4">
      <w:pPr>
        <w:pStyle w:val="Paragraphedeliste"/>
        <w:numPr>
          <w:ilvl w:val="0"/>
          <w:numId w:val="28"/>
        </w:numPr>
        <w:spacing w:after="0"/>
        <w:rPr>
          <w:rFonts w:ascii="Aptos" w:eastAsia="Aptos" w:hAnsi="Aptos" w:cs="Aptos"/>
          <w:b/>
          <w:bCs/>
        </w:rPr>
      </w:pPr>
      <w:r w:rsidRPr="00B926F4">
        <w:rPr>
          <w:rFonts w:ascii="Aptos" w:eastAsia="Aptos" w:hAnsi="Aptos" w:cs="Aptos"/>
        </w:rPr>
        <w:t>Responsive budgeting: following LIDDWA’s advocacy, local budgets now allocate resources for women with disabilities, including assistive devices</w:t>
      </w:r>
      <w:r w:rsidR="00334370">
        <w:rPr>
          <w:rFonts w:ascii="Aptos" w:eastAsia="Aptos" w:hAnsi="Aptos" w:cs="Aptos"/>
        </w:rPr>
        <w:t>.</w:t>
      </w:r>
    </w:p>
    <w:p w14:paraId="3C3F454E" w14:textId="4BD1BC65" w:rsidR="69651D10" w:rsidRDefault="69651D10" w:rsidP="491F701C">
      <w:pPr>
        <w:pStyle w:val="Paragraphedeliste"/>
        <w:numPr>
          <w:ilvl w:val="0"/>
          <w:numId w:val="2"/>
        </w:numPr>
        <w:spacing w:before="240" w:after="240"/>
        <w:rPr>
          <w:rFonts w:ascii="Aptos" w:eastAsia="Aptos" w:hAnsi="Aptos" w:cs="Aptos"/>
        </w:rPr>
      </w:pPr>
      <w:r w:rsidRPr="491F701C">
        <w:rPr>
          <w:rFonts w:ascii="Aptos" w:eastAsia="Aptos" w:hAnsi="Aptos" w:cs="Aptos"/>
        </w:rPr>
        <w:t>Inclusive governance: women with disabilities now participate in decision-making committees on policy formulation and planning at district, sub-county, and city levels.</w:t>
      </w:r>
    </w:p>
    <w:p w14:paraId="631D1DFB" w14:textId="483543BC" w:rsidR="1AA6153B" w:rsidRDefault="1AA6153B" w:rsidP="491F701C">
      <w:pPr>
        <w:pStyle w:val="Paragraphedeliste"/>
        <w:numPr>
          <w:ilvl w:val="0"/>
          <w:numId w:val="2"/>
        </w:numPr>
        <w:spacing w:before="240" w:after="240"/>
        <w:rPr>
          <w:rFonts w:ascii="Aptos" w:eastAsia="Aptos" w:hAnsi="Aptos" w:cs="Aptos"/>
        </w:rPr>
      </w:pPr>
      <w:r w:rsidRPr="491F701C">
        <w:rPr>
          <w:rFonts w:ascii="Aptos" w:eastAsia="Aptos" w:hAnsi="Aptos" w:cs="Aptos"/>
        </w:rPr>
        <w:t xml:space="preserve">Infrastructure improvements: </w:t>
      </w:r>
      <w:r w:rsidR="189B7C6B" w:rsidRPr="491F701C">
        <w:rPr>
          <w:rFonts w:ascii="Aptos" w:eastAsia="Aptos" w:hAnsi="Aptos" w:cs="Aptos"/>
        </w:rPr>
        <w:t>e</w:t>
      </w:r>
      <w:r w:rsidRPr="491F701C">
        <w:rPr>
          <w:rFonts w:ascii="Aptos" w:eastAsia="Aptos" w:hAnsi="Aptos" w:cs="Aptos"/>
        </w:rPr>
        <w:t xml:space="preserve">ight maternity delivery beds were procured, and four community health </w:t>
      </w:r>
      <w:r w:rsidR="10B9F5D6" w:rsidRPr="491F701C">
        <w:rPr>
          <w:rFonts w:ascii="Aptos" w:eastAsia="Aptos" w:hAnsi="Aptos" w:cs="Aptos"/>
        </w:rPr>
        <w:t>centres</w:t>
      </w:r>
      <w:r w:rsidRPr="491F701C">
        <w:rPr>
          <w:rFonts w:ascii="Aptos" w:eastAsia="Aptos" w:hAnsi="Aptos" w:cs="Aptos"/>
        </w:rPr>
        <w:t xml:space="preserve"> were made physically accessible.</w:t>
      </w:r>
    </w:p>
    <w:p w14:paraId="688D9520" w14:textId="1C325C4A" w:rsidR="004B13E5" w:rsidRPr="00773ABF" w:rsidRDefault="6A8CFC0C" w:rsidP="00953128">
      <w:pPr>
        <w:pStyle w:val="Titre3"/>
        <w:numPr>
          <w:ilvl w:val="0"/>
          <w:numId w:val="13"/>
        </w:numPr>
        <w:rPr>
          <w:rStyle w:val="Titre3Car"/>
          <w:lang w:val="en-US"/>
        </w:rPr>
      </w:pPr>
      <w:r w:rsidRPr="00DC07E8">
        <w:rPr>
          <w:rStyle w:val="Titre3Car"/>
          <w:lang w:val="en-US"/>
        </w:rPr>
        <w:t>A new g</w:t>
      </w:r>
      <w:r w:rsidR="7003950F" w:rsidRPr="00DC07E8">
        <w:rPr>
          <w:rStyle w:val="Titre3Car"/>
          <w:lang w:val="en-US"/>
        </w:rPr>
        <w:t>ender-sens</w:t>
      </w:r>
      <w:r w:rsidR="2F82EE5A" w:rsidRPr="00DC07E8">
        <w:rPr>
          <w:rStyle w:val="Titre3Car"/>
          <w:lang w:val="en-US"/>
        </w:rPr>
        <w:t>i</w:t>
      </w:r>
      <w:r w:rsidR="7003950F" w:rsidRPr="00DC07E8">
        <w:rPr>
          <w:rStyle w:val="Titre3Car"/>
          <w:lang w:val="en-US"/>
        </w:rPr>
        <w:t>tive Disability Act: a good practice from Kenya</w:t>
      </w:r>
    </w:p>
    <w:p w14:paraId="68A800A0" w14:textId="178570D6" w:rsidR="00DD6A18" w:rsidRPr="00DD6A18" w:rsidRDefault="00DD6A18" w:rsidP="491F701C">
      <w:r w:rsidRPr="00DD6A18">
        <w:rPr>
          <w:b/>
          <w:bCs/>
        </w:rPr>
        <w:t xml:space="preserve">In 2024-2025, a coalition of feminist organisations and women-led OPDs, including </w:t>
      </w:r>
      <w:r w:rsidR="005F7B2D">
        <w:rPr>
          <w:b/>
          <w:bCs/>
        </w:rPr>
        <w:t>WCC (</w:t>
      </w:r>
      <w:r w:rsidRPr="00DD6A18">
        <w:rPr>
          <w:b/>
          <w:bCs/>
        </w:rPr>
        <w:t xml:space="preserve">Women </w:t>
      </w:r>
      <w:r w:rsidRPr="005F7B2D">
        <w:rPr>
          <w:b/>
          <w:bCs/>
        </w:rPr>
        <w:t>Challenged to Challenge) and UDPK (United Disabled Persons of Kenya),</w:t>
      </w:r>
      <w:r w:rsidRPr="00DD6A18">
        <w:t xml:space="preserve"> played a key role in shaping Kenya’s Disability Act 2025. UDPK engaged in drafting consultations (2015–2019) and public participation processes (2021–2023), while WCC and COVAW ensured the Act was more inclusive of women with disabilities. WCC’s long-term lobbying of the Kenya Women Parliamentary Association (KEWOPA) was pivotal. The Act now includes provisions affirming women with disabilities’ rights to equal participation, protection from gender-based violence, access to reproductive health, and mandates disaggregated data collection at the county level.</w:t>
      </w:r>
    </w:p>
    <w:p w14:paraId="1ABB33FC" w14:textId="2101AF50" w:rsidR="001C7552" w:rsidRPr="00773ABF" w:rsidRDefault="4484006F" w:rsidP="00953128">
      <w:pPr>
        <w:pStyle w:val="Titre3"/>
        <w:numPr>
          <w:ilvl w:val="0"/>
          <w:numId w:val="13"/>
        </w:numPr>
        <w:rPr>
          <w:rStyle w:val="Titre3Car"/>
          <w:lang w:val="en-US"/>
        </w:rPr>
      </w:pPr>
      <w:r w:rsidRPr="00773ABF">
        <w:rPr>
          <w:rStyle w:val="Titre3Car"/>
          <w:lang w:val="en-US"/>
        </w:rPr>
        <w:t>Advancing SRHR Policy</w:t>
      </w:r>
      <w:r w:rsidR="795EA9E8" w:rsidRPr="00773ABF">
        <w:rPr>
          <w:rStyle w:val="Titre3Car"/>
          <w:lang w:val="en-US"/>
        </w:rPr>
        <w:t xml:space="preserve"> towards intersectional inclusion and accountability: a good practice from Nigeria</w:t>
      </w:r>
    </w:p>
    <w:p w14:paraId="6BFA8E37" w14:textId="27830AA0" w:rsidR="00055C1D" w:rsidRPr="00934260" w:rsidRDefault="00055C1D" w:rsidP="00B67863">
      <w:r w:rsidRPr="00055C1D">
        <w:rPr>
          <w:b/>
          <w:bCs/>
        </w:rPr>
        <w:t>AWWDI (Advocacy for Women with Disabilities Initiative)</w:t>
      </w:r>
      <w:r w:rsidRPr="00055C1D">
        <w:t xml:space="preserve"> and other women-led OPDs helped shape Nigeria’s 2018 National Policy on Sexual and Reproductive Health </w:t>
      </w:r>
      <w:r>
        <w:t xml:space="preserve">and </w:t>
      </w:r>
      <w:r w:rsidRPr="00055C1D">
        <w:t xml:space="preserve">Rights for Persons with Disabilities, emphasizing women and girls. Since then, AWWDI has worked with partners to promote its implementation across states and, in May 2025, hosted a </w:t>
      </w:r>
      <w:hyperlink r:id="rId15">
        <w:r w:rsidR="00C639B5" w:rsidRPr="491F701C">
          <w:rPr>
            <w:rStyle w:val="Lienhypertexte"/>
          </w:rPr>
          <w:t xml:space="preserve">high-level </w:t>
        </w:r>
        <w:r w:rsidR="00791497">
          <w:rPr>
            <w:rStyle w:val="Lienhypertexte"/>
          </w:rPr>
          <w:t>d</w:t>
        </w:r>
        <w:r w:rsidR="00C639B5" w:rsidRPr="491F701C">
          <w:rPr>
            <w:rStyle w:val="Lienhypertexte"/>
          </w:rPr>
          <w:t>ialogue</w:t>
        </w:r>
      </w:hyperlink>
      <w:r w:rsidRPr="00055C1D">
        <w:t xml:space="preserve"> that led to Nasarawa State’s formal adoption of the inclusive SRHR policy.</w:t>
      </w:r>
    </w:p>
    <w:p w14:paraId="3384AF4D" w14:textId="77777777" w:rsidR="00497129" w:rsidRDefault="3DCF1E73" w:rsidP="00497129">
      <w:pPr>
        <w:spacing w:after="0"/>
        <w:rPr>
          <w:b/>
          <w:bCs/>
        </w:rPr>
      </w:pPr>
      <w:r w:rsidRPr="71BD2328">
        <w:rPr>
          <w:b/>
          <w:bCs/>
        </w:rPr>
        <w:t>K</w:t>
      </w:r>
      <w:r w:rsidR="292E47E8" w:rsidRPr="71BD2328">
        <w:rPr>
          <w:b/>
          <w:bCs/>
        </w:rPr>
        <w:t>ey factors for success:</w:t>
      </w:r>
    </w:p>
    <w:p w14:paraId="23E75AC6" w14:textId="508FB0F6" w:rsidR="00497129" w:rsidRPr="00497129" w:rsidRDefault="00497129" w:rsidP="00497129">
      <w:pPr>
        <w:pStyle w:val="Paragraphedeliste"/>
        <w:numPr>
          <w:ilvl w:val="0"/>
          <w:numId w:val="28"/>
        </w:numPr>
        <w:spacing w:after="0"/>
        <w:rPr>
          <w:b/>
          <w:bCs/>
        </w:rPr>
      </w:pPr>
      <w:r w:rsidRPr="00497129">
        <w:t>Expertise recognition: stakeholders acknowledged the leadership and technical skills of women-led OPDs like AWWDI in shaping inclusive SRHR policies.</w:t>
      </w:r>
    </w:p>
    <w:p w14:paraId="659C79AB" w14:textId="77777777" w:rsidR="00497129" w:rsidRDefault="00497129" w:rsidP="71BD2328">
      <w:pPr>
        <w:pStyle w:val="Paragraphedeliste"/>
        <w:numPr>
          <w:ilvl w:val="0"/>
          <w:numId w:val="1"/>
        </w:numPr>
        <w:spacing w:before="240" w:after="240"/>
      </w:pPr>
      <w:r w:rsidRPr="00497129">
        <w:t>Political will: Nasarawa State Ministry of Health’s active participation ensured endorsement and accountability for implementation.</w:t>
      </w:r>
    </w:p>
    <w:p w14:paraId="16740F66" w14:textId="6D07F705" w:rsidR="00497129" w:rsidRDefault="00497129" w:rsidP="71BD2328">
      <w:pPr>
        <w:pStyle w:val="Paragraphedeliste"/>
        <w:numPr>
          <w:ilvl w:val="0"/>
          <w:numId w:val="1"/>
        </w:numPr>
        <w:spacing w:before="240" w:after="240"/>
      </w:pPr>
      <w:r w:rsidRPr="00497129">
        <w:t>Multi-sectoral commitments: the Dialogue produced concrete pledges, such as integrating the policy into healthcare training, promoting coordinated and inclusive SRHR delivery.</w:t>
      </w:r>
    </w:p>
    <w:p w14:paraId="78457115" w14:textId="23CF9D43" w:rsidR="00116F8D" w:rsidRPr="005B24D6" w:rsidRDefault="00116F8D" w:rsidP="00442DD6">
      <w:pPr>
        <w:pStyle w:val="Titre1"/>
      </w:pPr>
      <w:r w:rsidRPr="005B24D6">
        <w:lastRenderedPageBreak/>
        <w:t>Women with Disabilities at the Heart of Climate Action: Good practice</w:t>
      </w:r>
      <w:r w:rsidR="003F70B2" w:rsidRPr="005B24D6">
        <w:t>s</w:t>
      </w:r>
      <w:r w:rsidRPr="005B24D6">
        <w:t xml:space="preserve"> in addressing climate injustice through inclusive gender-responsive </w:t>
      </w:r>
      <w:r w:rsidR="00DD6A18">
        <w:t>climate action</w:t>
      </w:r>
    </w:p>
    <w:p w14:paraId="30002C0A" w14:textId="5A5B75B4" w:rsidR="00F81D07" w:rsidRPr="00DC07E8" w:rsidRDefault="08B4FE66" w:rsidP="00953128">
      <w:pPr>
        <w:pStyle w:val="Titre3"/>
        <w:numPr>
          <w:ilvl w:val="0"/>
          <w:numId w:val="13"/>
        </w:numPr>
        <w:rPr>
          <w:rStyle w:val="Titre3Car"/>
          <w:lang w:val="en-US"/>
        </w:rPr>
      </w:pPr>
      <w:r w:rsidRPr="00DC07E8">
        <w:rPr>
          <w:rStyle w:val="Titre3Car"/>
          <w:lang w:val="en-US"/>
        </w:rPr>
        <w:t>Gender-sensitive disability mainstreaming in a climate change resilience project: a good practice from Rwanda</w:t>
      </w:r>
    </w:p>
    <w:p w14:paraId="6D0632CD" w14:textId="27FFF368" w:rsidR="00A76122" w:rsidRDefault="00A76122" w:rsidP="00777D09">
      <w:r w:rsidRPr="00A76122">
        <w:rPr>
          <w:b/>
          <w:bCs/>
        </w:rPr>
        <w:t>Since 2024, UNABU (</w:t>
      </w:r>
      <w:proofErr w:type="spellStart"/>
      <w:r w:rsidRPr="00A76122">
        <w:rPr>
          <w:b/>
          <w:bCs/>
        </w:rPr>
        <w:t>Umuryango</w:t>
      </w:r>
      <w:proofErr w:type="spellEnd"/>
      <w:r w:rsidRPr="491F701C">
        <w:rPr>
          <w:b/>
          <w:bCs/>
        </w:rPr>
        <w:t xml:space="preserve"> </w:t>
      </w:r>
      <w:proofErr w:type="spellStart"/>
      <w:r w:rsidRPr="491F701C">
        <w:rPr>
          <w:b/>
          <w:bCs/>
        </w:rPr>
        <w:t>Nyarwandaw’Abagore</w:t>
      </w:r>
      <w:proofErr w:type="spellEnd"/>
      <w:r w:rsidRPr="491F701C">
        <w:rPr>
          <w:b/>
          <w:bCs/>
        </w:rPr>
        <w:t xml:space="preserve"> </w:t>
      </w:r>
      <w:proofErr w:type="spellStart"/>
      <w:r w:rsidRPr="00A76122">
        <w:t>BafiteUbumuga</w:t>
      </w:r>
      <w:proofErr w:type="spellEnd"/>
      <w:r w:rsidRPr="00A76122">
        <w:t xml:space="preserve"> - Rwandan Organization of Women with Disabilities) has served on the Steering Committee of the </w:t>
      </w:r>
      <w:r w:rsidRPr="00A76122">
        <w:rPr>
          <w:i/>
          <w:iCs/>
        </w:rPr>
        <w:t>Congo Nile Divide Restoration Project</w:t>
      </w:r>
      <w:r w:rsidRPr="00A76122">
        <w:t xml:space="preserve"> — a major climate resilience initiative led by the </w:t>
      </w:r>
      <w:hyperlink r:id="rId16">
        <w:r w:rsidRPr="491F701C">
          <w:rPr>
            <w:rStyle w:val="Lienhypertexte"/>
          </w:rPr>
          <w:t>Ministry of Environment</w:t>
        </w:r>
      </w:hyperlink>
      <w:r w:rsidRPr="00A76122">
        <w:t xml:space="preserve"> and the </w:t>
      </w:r>
      <w:hyperlink r:id="rId17">
        <w:r w:rsidRPr="491F701C">
          <w:rPr>
            <w:rStyle w:val="Lienhypertexte"/>
          </w:rPr>
          <w:t>Rwanda Forestry Authority</w:t>
        </w:r>
      </w:hyperlink>
      <w:r w:rsidRPr="00A76122">
        <w:t xml:space="preserve">, with Green Climate Fund support. As the Committee’s advisor on gender and disability, UNABU trained project stakeholders on gender-sensitive disability inclusion, setting an example for intersectional </w:t>
      </w:r>
      <w:r>
        <w:t>inclusion</w:t>
      </w:r>
      <w:r w:rsidRPr="00A76122">
        <w:t xml:space="preserve"> in climate action.</w:t>
      </w:r>
    </w:p>
    <w:p w14:paraId="3B86836D" w14:textId="6EEB102A" w:rsidR="00DD249C" w:rsidRPr="00991E87" w:rsidRDefault="004D59AA" w:rsidP="00991E87">
      <w:pPr>
        <w:pStyle w:val="Titre3"/>
        <w:numPr>
          <w:ilvl w:val="0"/>
          <w:numId w:val="13"/>
        </w:numPr>
        <w:rPr>
          <w:rStyle w:val="Titre3Car"/>
          <w:lang w:val="en-US"/>
        </w:rPr>
      </w:pPr>
      <w:r w:rsidRPr="00991E87">
        <w:rPr>
          <w:rStyle w:val="Titre3Car"/>
          <w:lang w:val="en-US"/>
        </w:rPr>
        <w:t>Pr</w:t>
      </w:r>
      <w:r w:rsidR="00DD249C" w:rsidRPr="00991E87">
        <w:rPr>
          <w:rStyle w:val="Titre3Car"/>
          <w:lang w:val="en-US"/>
        </w:rPr>
        <w:t xml:space="preserve">omoting </w:t>
      </w:r>
      <w:r w:rsidR="00991E87">
        <w:rPr>
          <w:rStyle w:val="Titre3Car"/>
          <w:lang w:val="en-US"/>
        </w:rPr>
        <w:t>d</w:t>
      </w:r>
      <w:r w:rsidR="00DD249C" w:rsidRPr="00991E87">
        <w:rPr>
          <w:rStyle w:val="Titre3Car"/>
          <w:lang w:val="en-US"/>
        </w:rPr>
        <w:t>isability-</w:t>
      </w:r>
      <w:r w:rsidR="00991E87">
        <w:rPr>
          <w:rStyle w:val="Titre3Car"/>
          <w:lang w:val="en-US"/>
        </w:rPr>
        <w:t>i</w:t>
      </w:r>
      <w:r w:rsidR="00DD249C" w:rsidRPr="00991E87">
        <w:rPr>
          <w:rStyle w:val="Titre3Car"/>
          <w:lang w:val="en-US"/>
        </w:rPr>
        <w:t xml:space="preserve">nclusive </w:t>
      </w:r>
      <w:r w:rsidR="00991E87">
        <w:rPr>
          <w:rStyle w:val="Titre3Car"/>
          <w:lang w:val="en-US"/>
        </w:rPr>
        <w:t>c</w:t>
      </w:r>
      <w:r w:rsidR="00DD249C" w:rsidRPr="00991E87">
        <w:rPr>
          <w:rStyle w:val="Titre3Car"/>
          <w:lang w:val="en-US"/>
        </w:rPr>
        <w:t xml:space="preserve">limate </w:t>
      </w:r>
      <w:r w:rsidR="00991E87">
        <w:rPr>
          <w:rStyle w:val="Titre3Car"/>
          <w:lang w:val="en-US"/>
        </w:rPr>
        <w:t>a</w:t>
      </w:r>
      <w:r w:rsidR="00DD249C" w:rsidRPr="00991E87">
        <w:rPr>
          <w:rStyle w:val="Titre3Car"/>
          <w:lang w:val="en-US"/>
        </w:rPr>
        <w:t xml:space="preserve">ction and </w:t>
      </w:r>
      <w:r w:rsidR="00991E87">
        <w:rPr>
          <w:rStyle w:val="Titre3Car"/>
          <w:lang w:val="en-US"/>
        </w:rPr>
        <w:t>h</w:t>
      </w:r>
      <w:r w:rsidR="00DD249C" w:rsidRPr="00991E87">
        <w:rPr>
          <w:rStyle w:val="Titre3Car"/>
          <w:lang w:val="en-US"/>
        </w:rPr>
        <w:t xml:space="preserve">umanitarian </w:t>
      </w:r>
      <w:r w:rsidR="00991E87">
        <w:rPr>
          <w:rStyle w:val="Titre3Car"/>
          <w:lang w:val="en-US"/>
        </w:rPr>
        <w:t>r</w:t>
      </w:r>
      <w:r w:rsidR="00DD249C" w:rsidRPr="00991E87">
        <w:rPr>
          <w:rStyle w:val="Titre3Car"/>
          <w:lang w:val="en-US"/>
        </w:rPr>
        <w:t>espons</w:t>
      </w:r>
      <w:r w:rsidR="00991E87">
        <w:rPr>
          <w:rStyle w:val="Titre3Car"/>
          <w:lang w:val="en-US"/>
        </w:rPr>
        <w:t>e: a good practice from Malawi</w:t>
      </w:r>
    </w:p>
    <w:p w14:paraId="4BD06346" w14:textId="6B16455F" w:rsidR="005973BD" w:rsidRPr="005973BD" w:rsidRDefault="005973BD" w:rsidP="005973BD">
      <w:pPr>
        <w:rPr>
          <w:lang w:val="en-US"/>
        </w:rPr>
      </w:pPr>
      <w:r w:rsidRPr="005973BD">
        <w:rPr>
          <w:b/>
          <w:bCs/>
          <w:lang w:val="en-US"/>
        </w:rPr>
        <w:t xml:space="preserve">In June 2024, following the devastation of Cyclone Freddy, Disabled Women in Africa (DIWA) </w:t>
      </w:r>
      <w:r w:rsidRPr="005973BD">
        <w:rPr>
          <w:lang w:val="en-US"/>
        </w:rPr>
        <w:t>conducted a research study on the disaster’s impact on women and girls with disabilities. The study revealed how inaccessible information, inadequate shelters, and exclusion from relief decision-making disproportionately exposed women with disabilities to risk and deepened existing inequalities.</w:t>
      </w:r>
      <w:r w:rsidR="00D82E3C">
        <w:rPr>
          <w:lang w:val="en-US"/>
        </w:rPr>
        <w:t xml:space="preserve"> </w:t>
      </w:r>
      <w:r w:rsidRPr="005973BD">
        <w:rPr>
          <w:lang w:val="en-US"/>
        </w:rPr>
        <w:t xml:space="preserve">The research findings were shared with humanitarian actors and government agencies, influencing policy decisions and contributing to the development of Standard Operating Procedures (SOPs) for inclusive disaster response. </w:t>
      </w:r>
    </w:p>
    <w:p w14:paraId="147D461B" w14:textId="58A3168F" w:rsidR="005973BD" w:rsidRPr="005973BD" w:rsidRDefault="005973BD" w:rsidP="00B926F4">
      <w:pPr>
        <w:spacing w:after="0"/>
        <w:rPr>
          <w:b/>
          <w:bCs/>
          <w:lang w:val="en-US"/>
        </w:rPr>
      </w:pPr>
      <w:r w:rsidRPr="005973BD">
        <w:rPr>
          <w:b/>
          <w:bCs/>
          <w:lang w:val="en-US"/>
        </w:rPr>
        <w:t xml:space="preserve">Key </w:t>
      </w:r>
      <w:r>
        <w:rPr>
          <w:b/>
          <w:bCs/>
          <w:lang w:val="en-US"/>
        </w:rPr>
        <w:t>f</w:t>
      </w:r>
      <w:r w:rsidRPr="005973BD">
        <w:rPr>
          <w:b/>
          <w:bCs/>
          <w:lang w:val="en-US"/>
        </w:rPr>
        <w:t xml:space="preserve">actors for </w:t>
      </w:r>
      <w:r>
        <w:rPr>
          <w:b/>
          <w:bCs/>
          <w:lang w:val="en-US"/>
        </w:rPr>
        <w:t>s</w:t>
      </w:r>
      <w:r w:rsidRPr="005973BD">
        <w:rPr>
          <w:b/>
          <w:bCs/>
          <w:lang w:val="en-US"/>
        </w:rPr>
        <w:t>uccess</w:t>
      </w:r>
      <w:r>
        <w:rPr>
          <w:b/>
          <w:bCs/>
          <w:lang w:val="en-US"/>
        </w:rPr>
        <w:t>:</w:t>
      </w:r>
    </w:p>
    <w:p w14:paraId="24F72CD6" w14:textId="420203AF" w:rsidR="005973BD" w:rsidRPr="005973BD" w:rsidRDefault="005973BD" w:rsidP="005973BD">
      <w:pPr>
        <w:pStyle w:val="Paragraphedeliste"/>
        <w:numPr>
          <w:ilvl w:val="0"/>
          <w:numId w:val="1"/>
        </w:numPr>
      </w:pPr>
      <w:r w:rsidRPr="005973BD">
        <w:t xml:space="preserve">Evidence-based advocacy: </w:t>
      </w:r>
      <w:r>
        <w:t>t</w:t>
      </w:r>
      <w:r w:rsidRPr="005973BD">
        <w:t>he research provided credible data and lived experiences that informed more inclusive humanitarian and climate policies.</w:t>
      </w:r>
    </w:p>
    <w:p w14:paraId="5C6AC367" w14:textId="77777777" w:rsidR="00DB7D2C" w:rsidRDefault="005973BD" w:rsidP="00013F88">
      <w:pPr>
        <w:pStyle w:val="Paragraphedeliste"/>
        <w:numPr>
          <w:ilvl w:val="0"/>
          <w:numId w:val="1"/>
        </w:numPr>
      </w:pPr>
      <w:r w:rsidRPr="005973BD">
        <w:t xml:space="preserve">Intersectional approach: </w:t>
      </w:r>
      <w:r>
        <w:t>b</w:t>
      </w:r>
      <w:r w:rsidRPr="005973BD">
        <w:t>y linking climate resilience, disability inclusion, and gender equality, DIWA positioned women with disabilities as key actors in climate and disaster response strategies.</w:t>
      </w:r>
    </w:p>
    <w:p w14:paraId="4EA8F2B1" w14:textId="22756051" w:rsidR="00013F88" w:rsidRPr="00DB7D2C" w:rsidRDefault="159E5297" w:rsidP="00442DD6">
      <w:pPr>
        <w:pStyle w:val="Titre1"/>
      </w:pPr>
      <w:r w:rsidRPr="00DB7D2C">
        <w:t>Data that Drives Inclusion</w:t>
      </w:r>
      <w:r w:rsidR="75D43FB7" w:rsidRPr="00DB7D2C">
        <w:t xml:space="preserve"> and </w:t>
      </w:r>
      <w:r w:rsidR="4B80BC8A" w:rsidRPr="00DB7D2C">
        <w:t>tackles</w:t>
      </w:r>
      <w:r w:rsidR="73F474D4" w:rsidRPr="00DB7D2C">
        <w:t xml:space="preserve"> statistical invisibility</w:t>
      </w:r>
      <w:r w:rsidRPr="00DB7D2C">
        <w:t>: Good practices in producing disaggregated data with and by women with disabilities</w:t>
      </w:r>
    </w:p>
    <w:p w14:paraId="0FA73086" w14:textId="11AFEAB1" w:rsidR="00CF3A52" w:rsidRPr="00DC07E8" w:rsidRDefault="4466324A" w:rsidP="00953128">
      <w:pPr>
        <w:pStyle w:val="Titre3"/>
        <w:numPr>
          <w:ilvl w:val="0"/>
          <w:numId w:val="13"/>
        </w:numPr>
        <w:rPr>
          <w:rStyle w:val="Titre3Car"/>
          <w:lang w:val="en-US"/>
        </w:rPr>
      </w:pPr>
      <w:r w:rsidRPr="00DC07E8">
        <w:rPr>
          <w:rStyle w:val="Titre3Car"/>
          <w:lang w:val="en-US"/>
        </w:rPr>
        <w:t>Strengthening Disaggregated Data</w:t>
      </w:r>
      <w:r w:rsidR="1A0F4E03" w:rsidRPr="00DC07E8">
        <w:rPr>
          <w:rStyle w:val="Titre3Car"/>
          <w:lang w:val="en-US"/>
        </w:rPr>
        <w:t>: examples of promising national efforts in Senegal</w:t>
      </w:r>
      <w:r w:rsidR="76157107" w:rsidRPr="00DC07E8">
        <w:rPr>
          <w:rStyle w:val="Titre3Car"/>
          <w:lang w:val="en-US"/>
        </w:rPr>
        <w:t xml:space="preserve">, </w:t>
      </w:r>
      <w:r w:rsidR="1A0F4E03" w:rsidRPr="00DC07E8">
        <w:rPr>
          <w:rStyle w:val="Titre3Car"/>
          <w:lang w:val="en-US"/>
        </w:rPr>
        <w:t>Malawi</w:t>
      </w:r>
      <w:r w:rsidR="76157107" w:rsidRPr="00DC07E8">
        <w:rPr>
          <w:rStyle w:val="Titre3Car"/>
          <w:lang w:val="en-US"/>
        </w:rPr>
        <w:t xml:space="preserve"> and </w:t>
      </w:r>
      <w:r w:rsidR="295160C2" w:rsidRPr="00DC07E8">
        <w:rPr>
          <w:rStyle w:val="Titre3Car"/>
          <w:lang w:val="en-US"/>
        </w:rPr>
        <w:t>Kenya</w:t>
      </w:r>
    </w:p>
    <w:p w14:paraId="4A2E4B3F" w14:textId="4A001199" w:rsidR="009D3767" w:rsidRPr="00B77DAD" w:rsidRDefault="71D22F04" w:rsidP="009D3767">
      <w:r>
        <w:t>The collection of data disaggregated by gender and disability is essential to address the specific needs of women with disabilities, as outlined in the S</w:t>
      </w:r>
      <w:r w:rsidR="295160C2">
        <w:t>DGs</w:t>
      </w:r>
      <w:r>
        <w:t>. However, efforts to fill the gaps in the collection of this quality data remain insufficient, which hinders the effective inclusion of women with disabilities in public policies</w:t>
      </w:r>
      <w:r w:rsidR="295160C2">
        <w:t>,</w:t>
      </w:r>
      <w:r>
        <w:t xml:space="preserve"> such as those addressing discriminations.</w:t>
      </w:r>
    </w:p>
    <w:p w14:paraId="5AC26ABB" w14:textId="1896C905" w:rsidR="00AE0DF5" w:rsidRDefault="2D81D959" w:rsidP="0040651D">
      <w:r>
        <w:t xml:space="preserve">On a positive note, </w:t>
      </w:r>
      <w:r w:rsidRPr="000D4B39">
        <w:rPr>
          <w:b/>
          <w:bCs/>
        </w:rPr>
        <w:t xml:space="preserve">Senegal </w:t>
      </w:r>
      <w:r>
        <w:t>has been using the WGSS since its 2013 national population census, including in its most recent national census RGPH-5 done in 2023.</w:t>
      </w:r>
      <w:r w:rsidR="1F8344B1">
        <w:t xml:space="preserve"> The Agency for Statistics and Demography of Senegal</w:t>
      </w:r>
      <w:r>
        <w:t xml:space="preserve"> </w:t>
      </w:r>
      <w:r w:rsidR="1F8344B1">
        <w:t>has recently published its new</w:t>
      </w:r>
      <w:r>
        <w:t xml:space="preserve"> </w:t>
      </w:r>
      <w:r w:rsidRPr="005B3BC6">
        <w:t>2024 RGPH-5 repor</w:t>
      </w:r>
      <w:r w:rsidR="1F8344B1" w:rsidRPr="005B3BC6">
        <w:t>t</w:t>
      </w:r>
      <w:r w:rsidR="1F8344B1">
        <w:t xml:space="preserve"> on </w:t>
      </w:r>
      <w:r w:rsidR="1F8344B1">
        <w:lastRenderedPageBreak/>
        <w:t>Population and Housing.</w:t>
      </w:r>
      <w:r w:rsidR="00200E45" w:rsidRPr="00200E45">
        <w:rPr>
          <w:vertAlign w:val="superscript"/>
        </w:rPr>
        <w:t xml:space="preserve"> </w:t>
      </w:r>
      <w:r w:rsidR="00200E45" w:rsidRPr="00B77DAD">
        <w:rPr>
          <w:vertAlign w:val="superscript"/>
        </w:rPr>
        <w:footnoteReference w:id="2"/>
      </w:r>
      <w:r w:rsidR="1F8344B1">
        <w:t xml:space="preserve"> </w:t>
      </w:r>
      <w:r w:rsidR="1A0F4E03">
        <w:t>On one hand, i</w:t>
      </w:r>
      <w:r w:rsidR="1F8344B1">
        <w:t>t</w:t>
      </w:r>
      <w:r w:rsidR="436D3B8A">
        <w:t>s Chapter 11 is a</w:t>
      </w:r>
      <w:r>
        <w:t xml:space="preserve"> </w:t>
      </w:r>
      <w:hyperlink r:id="rId18" w:history="1">
        <w:r w:rsidRPr="005B3BC6">
          <w:rPr>
            <w:rStyle w:val="Lienhypertexte"/>
          </w:rPr>
          <w:t>dedicated chapter on disability</w:t>
        </w:r>
      </w:hyperlink>
      <w:r>
        <w:t>, providing disaggregated data on disability and gender.</w:t>
      </w:r>
      <w:r w:rsidR="1A0F4E03">
        <w:t xml:space="preserve"> On the other</w:t>
      </w:r>
      <w:r w:rsidR="74C87345">
        <w:t xml:space="preserve"> hand,</w:t>
      </w:r>
      <w:r w:rsidR="00906E22">
        <w:t xml:space="preserve"> in</w:t>
      </w:r>
      <w:r w:rsidR="74C87345">
        <w:t xml:space="preserve"> </w:t>
      </w:r>
      <w:r w:rsidR="7BFA9FB4" w:rsidRPr="00AE0DF5">
        <w:t>the report entitled ‘</w:t>
      </w:r>
      <w:hyperlink r:id="rId19" w:history="1">
        <w:r w:rsidR="7BFA9FB4" w:rsidRPr="000D4B39">
          <w:rPr>
            <w:rStyle w:val="Lienhypertexte"/>
          </w:rPr>
          <w:t>National Reference Survey on Violence Against Women</w:t>
        </w:r>
      </w:hyperlink>
      <w:r w:rsidR="7BFA9FB4" w:rsidRPr="00AE0DF5">
        <w:t>’ published in 2024 by</w:t>
      </w:r>
      <w:r w:rsidR="00906E22">
        <w:t xml:space="preserve"> the </w:t>
      </w:r>
      <w:r w:rsidR="7BFA9FB4" w:rsidRPr="00AE0DF5">
        <w:t>Agency</w:t>
      </w:r>
      <w:r w:rsidR="00906E22">
        <w:t xml:space="preserve">, it is regrettable </w:t>
      </w:r>
      <w:r w:rsidR="7BFA9FB4" w:rsidRPr="00AE0DF5">
        <w:t xml:space="preserve">the data </w:t>
      </w:r>
      <w:r w:rsidR="00906E22">
        <w:t>fails to consider</w:t>
      </w:r>
      <w:r w:rsidR="7BFA9FB4" w:rsidRPr="00AE0DF5">
        <w:t xml:space="preserve"> the intersectionality of gender and disability.</w:t>
      </w:r>
    </w:p>
    <w:p w14:paraId="5B297F5D" w14:textId="6594CD59" w:rsidR="00FA7E8D" w:rsidRDefault="3CC408BF" w:rsidP="002D22A6">
      <w:pPr>
        <w:rPr>
          <w:lang w:val="en-CA"/>
        </w:rPr>
      </w:pPr>
      <w:r w:rsidRPr="491F701C">
        <w:rPr>
          <w:b/>
          <w:bCs/>
        </w:rPr>
        <w:t>In Kenya</w:t>
      </w:r>
      <w:r>
        <w:t xml:space="preserve">, the National Bureau of Statistics has utilised the WGSS for a number of years (i.e. in the </w:t>
      </w:r>
      <w:hyperlink r:id="rId20">
        <w:r w:rsidRPr="491F701C">
          <w:rPr>
            <w:rStyle w:val="Lienhypertexte"/>
          </w:rPr>
          <w:t>2019 Kenya Population and Housing Census</w:t>
        </w:r>
      </w:hyperlink>
      <w:r>
        <w:t xml:space="preserve">). The </w:t>
      </w:r>
      <w:hyperlink r:id="rId21">
        <w:r w:rsidRPr="491F701C">
          <w:rPr>
            <w:rStyle w:val="Lienhypertexte"/>
          </w:rPr>
          <w:t>Disability Monograph</w:t>
        </w:r>
      </w:hyperlink>
      <w:r>
        <w:t>, based on the 20</w:t>
      </w:r>
      <w:r w:rsidR="00DD6A18">
        <w:t>1</w:t>
      </w:r>
      <w:r>
        <w:t xml:space="preserve">9 Census, contains some data disaggregated by gender. Similarly, the </w:t>
      </w:r>
      <w:hyperlink r:id="rId22">
        <w:r w:rsidRPr="491F701C">
          <w:rPr>
            <w:rStyle w:val="Lienhypertexte"/>
          </w:rPr>
          <w:t>Gender Monograph</w:t>
        </w:r>
      </w:hyperlink>
      <w:r>
        <w:t xml:space="preserve"> contains some data disaggregated by disability. However, both monographs are limited in the extent to which they disaggregate and analyse data by intersectional factors. Furthermore, the </w:t>
      </w:r>
      <w:hyperlink r:id="rId23">
        <w:r w:rsidRPr="491F701C">
          <w:rPr>
            <w:rStyle w:val="Lienhypertexte"/>
          </w:rPr>
          <w:t>2023/24 Kenya Housing Survey</w:t>
        </w:r>
      </w:hyperlink>
      <w:r>
        <w:t xml:space="preserve"> incorporated the WGSS of questions, but intersectional analysis is lacking.</w:t>
      </w:r>
    </w:p>
    <w:p w14:paraId="70FE6D8C" w14:textId="7E87BB51" w:rsidR="007B49BF" w:rsidRDefault="59A7507E" w:rsidP="005973BD">
      <w:pPr>
        <w:pStyle w:val="Titre3"/>
        <w:numPr>
          <w:ilvl w:val="0"/>
          <w:numId w:val="13"/>
        </w:numPr>
        <w:rPr>
          <w:rStyle w:val="Titre3Car"/>
          <w:lang w:val="en-US"/>
        </w:rPr>
      </w:pPr>
      <w:r w:rsidRPr="00DC07E8">
        <w:rPr>
          <w:rStyle w:val="Titre3Car"/>
          <w:lang w:val="en-US"/>
        </w:rPr>
        <w:t>Evidence for change in Zambia</w:t>
      </w:r>
      <w:r w:rsidR="007B49BF">
        <w:rPr>
          <w:rStyle w:val="Titre3Car"/>
          <w:lang w:val="en-US"/>
        </w:rPr>
        <w:t xml:space="preserve">, Kenya </w:t>
      </w:r>
      <w:r w:rsidRPr="00DC07E8">
        <w:rPr>
          <w:rStyle w:val="Titre3Car"/>
          <w:lang w:val="en-US"/>
        </w:rPr>
        <w:t>and Malawi: using data to inform inclusive laws and policies</w:t>
      </w:r>
    </w:p>
    <w:p w14:paraId="0F9A553E" w14:textId="6B841A5F" w:rsidR="005973BD" w:rsidRPr="005973BD" w:rsidRDefault="005973BD" w:rsidP="005973BD">
      <w:pPr>
        <w:rPr>
          <w:lang w:val="en-US"/>
        </w:rPr>
      </w:pPr>
      <w:r w:rsidRPr="005C523B">
        <w:rPr>
          <w:b/>
          <w:bCs/>
          <w:lang w:val="en-US"/>
        </w:rPr>
        <w:t>Disabled Women in Africa (DIWA)</w:t>
      </w:r>
      <w:r w:rsidRPr="005973BD">
        <w:rPr>
          <w:lang w:val="en-US"/>
        </w:rPr>
        <w:t xml:space="preserve"> has </w:t>
      </w:r>
      <w:r>
        <w:rPr>
          <w:lang w:val="en-US"/>
        </w:rPr>
        <w:t>championed</w:t>
      </w:r>
      <w:r w:rsidRPr="005973BD">
        <w:rPr>
          <w:lang w:val="en-US"/>
        </w:rPr>
        <w:t xml:space="preserve"> evidence-based advocacy for inclusive policy and legislative reform in Zambia and Malawi, while reinforcing regional advocacy in East and Southern Africa.</w:t>
      </w:r>
    </w:p>
    <w:p w14:paraId="2EC4E7D8" w14:textId="78CFE2B1" w:rsidR="005973BD" w:rsidRPr="005973BD" w:rsidRDefault="005973BD" w:rsidP="005973BD">
      <w:pPr>
        <w:rPr>
          <w:lang w:val="en-US"/>
        </w:rPr>
      </w:pPr>
      <w:r w:rsidRPr="00906E22">
        <w:rPr>
          <w:b/>
          <w:bCs/>
          <w:lang w:val="en-US"/>
        </w:rPr>
        <w:t>In Zambia</w:t>
      </w:r>
      <w:r w:rsidRPr="005973BD">
        <w:rPr>
          <w:lang w:val="en-US"/>
        </w:rPr>
        <w:t xml:space="preserve">, DIWA’s mixed-methods research to inform the modernization of the </w:t>
      </w:r>
      <w:r w:rsidRPr="005973BD">
        <w:rPr>
          <w:i/>
          <w:iCs/>
          <w:lang w:val="en-US"/>
        </w:rPr>
        <w:t>Persons with Disabilities Act No. 6 (2012)</w:t>
      </w:r>
      <w:r w:rsidRPr="005973BD">
        <w:rPr>
          <w:lang w:val="en-US"/>
        </w:rPr>
        <w:t xml:space="preserve"> revealed critical gaps in gender responsiveness, accountability, and participation. The findings—exposing limited rights awareness and high rates of violence against women with disabilities—underpinned advocacy to align the </w:t>
      </w:r>
      <w:r w:rsidRPr="0019448C">
        <w:rPr>
          <w:lang w:val="en-US"/>
        </w:rPr>
        <w:t>Act with the African Disability Protocol, the Maputo Protocol, and the AU Convention on Ending Violence Against Women and Girl</w:t>
      </w:r>
      <w:r w:rsidR="00DD6A18" w:rsidRPr="0019448C">
        <w:rPr>
          <w:lang w:val="en-US"/>
        </w:rPr>
        <w:t>s.</w:t>
      </w:r>
    </w:p>
    <w:p w14:paraId="52FF0569" w14:textId="77777777" w:rsidR="005973BD" w:rsidRPr="005973BD" w:rsidRDefault="005973BD" w:rsidP="005973BD">
      <w:pPr>
        <w:rPr>
          <w:lang w:val="en-US"/>
        </w:rPr>
      </w:pPr>
      <w:r w:rsidRPr="00906E22">
        <w:rPr>
          <w:b/>
          <w:bCs/>
          <w:lang w:val="en-US"/>
        </w:rPr>
        <w:t>In Malawi</w:t>
      </w:r>
      <w:r w:rsidRPr="005973BD">
        <w:rPr>
          <w:lang w:val="en-US"/>
        </w:rPr>
        <w:t xml:space="preserve">, similar research informed the review of the </w:t>
      </w:r>
      <w:r w:rsidRPr="005973BD">
        <w:rPr>
          <w:i/>
          <w:iCs/>
          <w:lang w:val="en-US"/>
        </w:rPr>
        <w:t>National Action Plan to End GBV</w:t>
      </w:r>
      <w:r w:rsidRPr="005973BD">
        <w:rPr>
          <w:lang w:val="en-US"/>
        </w:rPr>
        <w:t xml:space="preserve"> and the </w:t>
      </w:r>
      <w:r w:rsidRPr="005973BD">
        <w:rPr>
          <w:i/>
          <w:iCs/>
          <w:lang w:val="en-US"/>
        </w:rPr>
        <w:t>National Action Plan on Albinism</w:t>
      </w:r>
      <w:r w:rsidRPr="005973BD">
        <w:rPr>
          <w:lang w:val="en-US"/>
        </w:rPr>
        <w:t>, ensuring both integrate disability, gender, and climate considerations. DIWA’s evidence-based recommendations were reflected in the renewed GBV Plan.</w:t>
      </w:r>
    </w:p>
    <w:p w14:paraId="205F4F53" w14:textId="04EFEB3A" w:rsidR="00791A94" w:rsidRPr="00DC07E8" w:rsidRDefault="7F32DB7F" w:rsidP="00953128">
      <w:pPr>
        <w:pStyle w:val="Titre3"/>
        <w:numPr>
          <w:ilvl w:val="0"/>
          <w:numId w:val="13"/>
        </w:numPr>
        <w:rPr>
          <w:rStyle w:val="Titre3Car"/>
          <w:lang w:val="en-US"/>
        </w:rPr>
      </w:pPr>
      <w:r w:rsidRPr="00DC07E8">
        <w:rPr>
          <w:rStyle w:val="Titre3Car"/>
          <w:lang w:val="en-US"/>
        </w:rPr>
        <w:t xml:space="preserve">Participatory </w:t>
      </w:r>
      <w:r w:rsidR="7967C5CC" w:rsidRPr="00DC07E8">
        <w:rPr>
          <w:rStyle w:val="Titre3Car"/>
          <w:lang w:val="en-US"/>
        </w:rPr>
        <w:t>data collection</w:t>
      </w:r>
      <w:r w:rsidRPr="00DC07E8">
        <w:rPr>
          <w:rStyle w:val="Titre3Car"/>
          <w:lang w:val="en-US"/>
        </w:rPr>
        <w:t xml:space="preserve"> </w:t>
      </w:r>
      <w:r w:rsidR="4466324A" w:rsidRPr="00DC07E8">
        <w:rPr>
          <w:rStyle w:val="Titre3Car"/>
          <w:lang w:val="en-US"/>
        </w:rPr>
        <w:t>l</w:t>
      </w:r>
      <w:r w:rsidRPr="00DC07E8">
        <w:rPr>
          <w:rStyle w:val="Titre3Car"/>
          <w:lang w:val="en-US"/>
        </w:rPr>
        <w:t>ed by women with disabilities – The Making It Work ‘Voices of’ Collection</w:t>
      </w:r>
    </w:p>
    <w:p w14:paraId="51CD0C1C" w14:textId="5CB005B9" w:rsidR="009B63C7" w:rsidRDefault="7F32DB7F" w:rsidP="009B63C7">
      <w:r w:rsidRPr="491F701C">
        <w:rPr>
          <w:b/>
          <w:bCs/>
        </w:rPr>
        <w:t>S</w:t>
      </w:r>
      <w:r w:rsidR="53FD7A71" w:rsidRPr="491F701C">
        <w:rPr>
          <w:b/>
          <w:bCs/>
        </w:rPr>
        <w:t>ince 2024, the Making It Work Gender and Disability Project (MIW)</w:t>
      </w:r>
      <w:r w:rsidR="53FD7A71">
        <w:t xml:space="preserve"> has supported five qualitative studies led by women with disabilities as both researchers and subjects. Published in the </w:t>
      </w:r>
      <w:hyperlink r:id="rId24">
        <w:r w:rsidR="53FD7A71" w:rsidRPr="491F701C">
          <w:rPr>
            <w:rStyle w:val="Lienhypertexte"/>
            <w:i/>
            <w:iCs/>
          </w:rPr>
          <w:t>“Voices of”</w:t>
        </w:r>
        <w:r w:rsidR="53FD7A71" w:rsidRPr="491F701C">
          <w:rPr>
            <w:rStyle w:val="Lienhypertexte"/>
          </w:rPr>
          <w:t xml:space="preserve"> collection</w:t>
        </w:r>
      </w:hyperlink>
      <w:r w:rsidR="53FD7A71">
        <w:t>, the studies highlight the lived realities of African women with disabilities while challenging objectifying</w:t>
      </w:r>
      <w:r w:rsidR="2F66C1BC">
        <w:t xml:space="preserve"> and overbearing</w:t>
      </w:r>
      <w:r w:rsidR="53FD7A71">
        <w:t xml:space="preserve"> research approaches.</w:t>
      </w:r>
      <w:r w:rsidR="00D870ED" w:rsidRPr="00D870ED">
        <w:t xml:space="preserve"> </w:t>
      </w:r>
      <w:r w:rsidR="00D870ED">
        <w:t>These studies recognise their agency and expertise, ensuring they shape both the process and the narrative.</w:t>
      </w:r>
    </w:p>
    <w:p w14:paraId="6952EACF" w14:textId="46F4914B" w:rsidR="00906E22" w:rsidRPr="00906E22" w:rsidRDefault="00906E22" w:rsidP="00906E22">
      <w:r w:rsidRPr="00906E22">
        <w:t xml:space="preserve">Each study is co-developed and implemented by women-led </w:t>
      </w:r>
      <w:r w:rsidR="007934C8">
        <w:t>OPDs</w:t>
      </w:r>
      <w:r w:rsidRPr="00906E22">
        <w:t>, with MIW providing tailored technical support on methodology, ethics, and data analysis.</w:t>
      </w:r>
      <w:r w:rsidR="00CB24FC">
        <w:t xml:space="preserve"> </w:t>
      </w:r>
      <w:r w:rsidRPr="00906E22">
        <w:t xml:space="preserve">By </w:t>
      </w:r>
      <w:proofErr w:type="spellStart"/>
      <w:r w:rsidRPr="00906E22">
        <w:t>centering</w:t>
      </w:r>
      <w:proofErr w:type="spellEnd"/>
      <w:r w:rsidRPr="00906E22">
        <w:t xml:space="preserve"> women with disabilities throughout the process, these initiatives generate inclusive, disaggregated data and promote feminist, anti-ableist knowledge that reflects their diverse lived experiences.</w:t>
      </w:r>
    </w:p>
    <w:p w14:paraId="2D06FE1D" w14:textId="77777777" w:rsidR="00906E22" w:rsidRPr="00906E22" w:rsidRDefault="00906E22" w:rsidP="00B926F4">
      <w:pPr>
        <w:spacing w:after="0"/>
        <w:rPr>
          <w:lang w:val="en-US"/>
        </w:rPr>
      </w:pPr>
      <w:r w:rsidRPr="00906E22">
        <w:rPr>
          <w:b/>
          <w:bCs/>
          <w:lang w:val="en-US"/>
        </w:rPr>
        <w:t>Key factors for success:</w:t>
      </w:r>
    </w:p>
    <w:p w14:paraId="004F5C21" w14:textId="11B50F6F" w:rsidR="00906E22" w:rsidRPr="00906E22" w:rsidRDefault="00906E22" w:rsidP="00906E22">
      <w:pPr>
        <w:pStyle w:val="Paragraphedeliste"/>
        <w:numPr>
          <w:ilvl w:val="0"/>
          <w:numId w:val="1"/>
        </w:numPr>
      </w:pPr>
      <w:r w:rsidRPr="00906E22">
        <w:t xml:space="preserve">Women-led OPDs as experts: </w:t>
      </w:r>
      <w:r>
        <w:t>t</w:t>
      </w:r>
      <w:r w:rsidRPr="00906E22">
        <w:t>heir dual role as rights-holders and researchers ensures legitimacy and relevance.</w:t>
      </w:r>
    </w:p>
    <w:p w14:paraId="7F8E1D4D" w14:textId="7201D95F" w:rsidR="00906E22" w:rsidRPr="00906E22" w:rsidRDefault="00906E22" w:rsidP="00906E22">
      <w:pPr>
        <w:pStyle w:val="Paragraphedeliste"/>
        <w:numPr>
          <w:ilvl w:val="0"/>
          <w:numId w:val="1"/>
        </w:numPr>
      </w:pPr>
      <w:r w:rsidRPr="00906E22">
        <w:lastRenderedPageBreak/>
        <w:t xml:space="preserve">Full participation: </w:t>
      </w:r>
      <w:r>
        <w:t>w</w:t>
      </w:r>
      <w:r w:rsidRPr="00906E22">
        <w:t>omen with disabilities are engaged at all stages, not only as respondents.</w:t>
      </w:r>
    </w:p>
    <w:p w14:paraId="0A06FF79" w14:textId="45053D97" w:rsidR="00906E22" w:rsidRPr="00906E22" w:rsidRDefault="00906E22" w:rsidP="00906E22">
      <w:pPr>
        <w:pStyle w:val="Paragraphedeliste"/>
        <w:numPr>
          <w:ilvl w:val="0"/>
          <w:numId w:val="1"/>
        </w:numPr>
      </w:pPr>
      <w:r w:rsidRPr="00906E22">
        <w:t xml:space="preserve">Diversity: </w:t>
      </w:r>
      <w:r>
        <w:t>r</w:t>
      </w:r>
      <w:r w:rsidRPr="00906E22">
        <w:t>epresentation across disabilities, ages, and contexts strengthens findings.</w:t>
      </w:r>
    </w:p>
    <w:p w14:paraId="4983876B" w14:textId="4FBC7946" w:rsidR="00906E22" w:rsidRPr="00906E22" w:rsidRDefault="00906E22" w:rsidP="00906E22">
      <w:pPr>
        <w:pStyle w:val="Paragraphedeliste"/>
        <w:numPr>
          <w:ilvl w:val="0"/>
          <w:numId w:val="1"/>
        </w:numPr>
      </w:pPr>
      <w:r w:rsidRPr="00906E22">
        <w:t xml:space="preserve">Empowering support: </w:t>
      </w:r>
      <w:r>
        <w:t>t</w:t>
      </w:r>
      <w:r w:rsidRPr="00906E22">
        <w:t>echnical assistance is flexible, respectful, and non-hierarchical.</w:t>
      </w:r>
    </w:p>
    <w:p w14:paraId="55EEF221" w14:textId="77777777" w:rsidR="00906E22" w:rsidRPr="00906E22" w:rsidRDefault="00906E22" w:rsidP="00906E22">
      <w:pPr>
        <w:pStyle w:val="Paragraphedeliste"/>
        <w:numPr>
          <w:ilvl w:val="0"/>
          <w:numId w:val="1"/>
        </w:numPr>
      </w:pPr>
      <w:r w:rsidRPr="00906E22">
        <w:t>Adequate funding: Grants must cover accessibility and accommodation costs to ensure equitable participation.</w:t>
      </w:r>
    </w:p>
    <w:p w14:paraId="69903842" w14:textId="59C2573B" w:rsidR="1AAB653B" w:rsidRPr="005B24D6" w:rsidRDefault="1AAB653B" w:rsidP="71BD2328"/>
    <w:sectPr w:rsidR="1AAB653B" w:rsidRPr="005B24D6" w:rsidSect="00837A4F">
      <w:headerReference w:type="default" r:id="rId25"/>
      <w:footerReference w:type="default" r:id="rId26"/>
      <w:pgSz w:w="11906" w:h="16838"/>
      <w:pgMar w:top="56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19DA" w14:textId="77777777" w:rsidR="00705A06" w:rsidRPr="00934260" w:rsidRDefault="00705A06" w:rsidP="00CB2C4E">
      <w:pPr>
        <w:spacing w:after="0" w:line="240" w:lineRule="auto"/>
      </w:pPr>
      <w:r w:rsidRPr="00934260">
        <w:separator/>
      </w:r>
    </w:p>
  </w:endnote>
  <w:endnote w:type="continuationSeparator" w:id="0">
    <w:p w14:paraId="7DFEDD9A" w14:textId="77777777" w:rsidR="00705A06" w:rsidRPr="00934260" w:rsidRDefault="00705A06" w:rsidP="00CB2C4E">
      <w:pPr>
        <w:spacing w:after="0" w:line="240" w:lineRule="auto"/>
      </w:pPr>
      <w:r w:rsidRPr="009342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ExtraLight">
    <w:panose1 w:val="00000300000000000000"/>
    <w:charset w:val="00"/>
    <w:family w:val="auto"/>
    <w:pitch w:val="variable"/>
    <w:sig w:usb0="20000007" w:usb1="00000001" w:usb2="00000000" w:usb3="00000000" w:csb0="00000193" w:csb1="00000000"/>
  </w:font>
  <w:font w:name="Nunito ExtraBold">
    <w:panose1 w:val="00000900000000000000"/>
    <w:charset w:val="00"/>
    <w:family w:val="auto"/>
    <w:pitch w:val="variable"/>
    <w:sig w:usb0="20000007" w:usb1="00000001" w:usb2="00000000" w:usb3="00000000" w:csb0="00000193" w:csb1="00000000"/>
  </w:font>
  <w:font w:name="Nunito">
    <w:panose1 w:val="000005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C567" w14:textId="2DECF21D" w:rsidR="00CB2C4E" w:rsidRPr="00616809" w:rsidRDefault="00355DD0" w:rsidP="00616809">
    <w:pPr>
      <w:pStyle w:val="Pieddepage"/>
      <w:spacing w:before="120"/>
      <w:rPr>
        <w:sz w:val="20"/>
        <w:szCs w:val="20"/>
      </w:rPr>
    </w:pPr>
    <w:r w:rsidRPr="00616809">
      <w:rPr>
        <w:sz w:val="20"/>
        <w:szCs w:val="20"/>
      </w:rPr>
      <w:t>African Good Practices: informing the CRPD guidelines on addressing multiple and intersectional forms of discrimination against women and girls with disabilities</w:t>
    </w:r>
    <w:r w:rsidR="003B7669" w:rsidRPr="00616809">
      <w:rPr>
        <w:sz w:val="20"/>
        <w:szCs w:val="20"/>
      </w:rPr>
      <w:t xml:space="preserve">  – DIWA and HI - 31 October 2025</w:t>
    </w:r>
    <w:r w:rsidRPr="00616809">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2D5A" w14:textId="77777777" w:rsidR="00705A06" w:rsidRPr="00934260" w:rsidRDefault="00705A06" w:rsidP="00CB2C4E">
      <w:pPr>
        <w:spacing w:after="0" w:line="240" w:lineRule="auto"/>
      </w:pPr>
      <w:r w:rsidRPr="00934260">
        <w:separator/>
      </w:r>
    </w:p>
  </w:footnote>
  <w:footnote w:type="continuationSeparator" w:id="0">
    <w:p w14:paraId="04C0E85D" w14:textId="77777777" w:rsidR="00705A06" w:rsidRPr="00934260" w:rsidRDefault="00705A06" w:rsidP="00CB2C4E">
      <w:pPr>
        <w:spacing w:after="0" w:line="240" w:lineRule="auto"/>
      </w:pPr>
      <w:r w:rsidRPr="00934260">
        <w:continuationSeparator/>
      </w:r>
    </w:p>
  </w:footnote>
  <w:footnote w:id="1">
    <w:p w14:paraId="0E097A97" w14:textId="169D114A" w:rsidR="00617432" w:rsidRPr="00617432" w:rsidRDefault="00617432" w:rsidP="00617432">
      <w:pPr>
        <w:pStyle w:val="Notedebasdepage"/>
        <w:rPr>
          <w:lang w:val="en-US"/>
        </w:rPr>
      </w:pPr>
      <w:r>
        <w:rPr>
          <w:rStyle w:val="Appelnotedebasdep"/>
        </w:rPr>
        <w:footnoteRef/>
      </w:r>
      <w:r w:rsidRPr="00617432">
        <w:rPr>
          <w:lang w:val="en-US"/>
        </w:rPr>
        <w:t xml:space="preserve"> Article 7</w:t>
      </w:r>
      <w:r>
        <w:rPr>
          <w:lang w:val="en-US"/>
        </w:rPr>
        <w:t xml:space="preserve">, on </w:t>
      </w:r>
      <w:r w:rsidRPr="00617432">
        <w:rPr>
          <w:lang w:val="en-US"/>
        </w:rPr>
        <w:t>State Obligations on Multiple and Interconnected Factors that Exacerbate</w:t>
      </w:r>
      <w:r>
        <w:rPr>
          <w:lang w:val="en-US"/>
        </w:rPr>
        <w:t xml:space="preserve"> </w:t>
      </w:r>
      <w:r w:rsidRPr="00617432">
        <w:rPr>
          <w:lang w:val="en-US"/>
        </w:rPr>
        <w:t>Violence Against Women and Girls</w:t>
      </w:r>
      <w:r>
        <w:rPr>
          <w:lang w:val="en-US"/>
        </w:rPr>
        <w:t>,</w:t>
      </w:r>
      <w:r w:rsidRPr="00617432">
        <w:rPr>
          <w:lang w:val="en-US"/>
        </w:rPr>
        <w:t xml:space="preserve"> of the </w:t>
      </w:r>
      <w:hyperlink r:id="rId1" w:history="1">
        <w:r w:rsidRPr="001423FD">
          <w:rPr>
            <w:rStyle w:val="Lienhypertexte"/>
            <w:lang w:val="en-US"/>
          </w:rPr>
          <w:t>AU Convention on EVAWG</w:t>
        </w:r>
      </w:hyperlink>
      <w:r>
        <w:rPr>
          <w:lang w:val="en-US"/>
        </w:rPr>
        <w:t xml:space="preserve">, in its paragraph 1 </w:t>
      </w:r>
      <w:r w:rsidR="001423FD">
        <w:rPr>
          <w:lang w:val="en-US"/>
        </w:rPr>
        <w:t>provides</w:t>
      </w:r>
      <w:r>
        <w:rPr>
          <w:lang w:val="en-US"/>
        </w:rPr>
        <w:t>: “S</w:t>
      </w:r>
      <w:r w:rsidRPr="00617432">
        <w:rPr>
          <w:lang w:val="en-US"/>
        </w:rPr>
        <w:t>tates Parties</w:t>
      </w:r>
      <w:r>
        <w:rPr>
          <w:lang w:val="en-US"/>
        </w:rPr>
        <w:t xml:space="preserve"> </w:t>
      </w:r>
      <w:r w:rsidRPr="00617432">
        <w:rPr>
          <w:lang w:val="en-US"/>
        </w:rPr>
        <w:t>shall take cognisance of the increased risk experienced by women and</w:t>
      </w:r>
      <w:r>
        <w:rPr>
          <w:lang w:val="en-US"/>
        </w:rPr>
        <w:t xml:space="preserve"> </w:t>
      </w:r>
      <w:r w:rsidRPr="00617432">
        <w:rPr>
          <w:lang w:val="en-US"/>
        </w:rPr>
        <w:t>girls who face multiple forms of</w:t>
      </w:r>
      <w:r>
        <w:rPr>
          <w:lang w:val="en-US"/>
        </w:rPr>
        <w:t xml:space="preserve"> </w:t>
      </w:r>
      <w:r w:rsidRPr="00617432">
        <w:rPr>
          <w:lang w:val="en-US"/>
        </w:rPr>
        <w:t>vulnerabilities, including but not limited to disability,</w:t>
      </w:r>
      <w:r>
        <w:rPr>
          <w:lang w:val="en-US"/>
        </w:rPr>
        <w:t xml:space="preserve"> </w:t>
      </w:r>
      <w:r w:rsidRPr="00617432">
        <w:rPr>
          <w:lang w:val="en-US"/>
        </w:rPr>
        <w:t>health-related shocks, displacement, widowhood, and old age</w:t>
      </w:r>
      <w:r w:rsidR="00217EF8">
        <w:rPr>
          <w:lang w:val="en-US"/>
        </w:rPr>
        <w:t xml:space="preserve"> […]</w:t>
      </w:r>
      <w:r>
        <w:rPr>
          <w:lang w:val="en-US"/>
        </w:rPr>
        <w:t>”</w:t>
      </w:r>
      <w:r w:rsidR="00217EF8">
        <w:rPr>
          <w:lang w:val="en-US"/>
        </w:rPr>
        <w:t>. I</w:t>
      </w:r>
      <w:r>
        <w:rPr>
          <w:lang w:val="en-US"/>
        </w:rPr>
        <w:t xml:space="preserve">ts paragraph 2, </w:t>
      </w:r>
      <w:r w:rsidR="001423FD" w:rsidRPr="001423FD">
        <w:rPr>
          <w:lang w:val="en-US"/>
        </w:rPr>
        <w:t>subparagraph</w:t>
      </w:r>
      <w:r>
        <w:rPr>
          <w:lang w:val="en-US"/>
        </w:rPr>
        <w:t xml:space="preserve"> ‘e’ </w:t>
      </w:r>
      <w:r w:rsidR="001423FD">
        <w:rPr>
          <w:lang w:val="en-US"/>
        </w:rPr>
        <w:t>provides</w:t>
      </w:r>
      <w:r>
        <w:rPr>
          <w:lang w:val="en-US"/>
        </w:rPr>
        <w:t>: “</w:t>
      </w:r>
      <w:r w:rsidR="00217EF8">
        <w:rPr>
          <w:lang w:val="en-US"/>
        </w:rPr>
        <w:t xml:space="preserve"> […] </w:t>
      </w:r>
      <w:r w:rsidRPr="00617432">
        <w:rPr>
          <w:lang w:val="en-US"/>
        </w:rPr>
        <w:t>States Parties</w:t>
      </w:r>
      <w:r>
        <w:rPr>
          <w:lang w:val="en-US"/>
        </w:rPr>
        <w:t xml:space="preserve"> </w:t>
      </w:r>
      <w:r w:rsidRPr="00617432">
        <w:rPr>
          <w:lang w:val="en-US"/>
        </w:rPr>
        <w:t>shall</w:t>
      </w:r>
      <w:r w:rsidR="00217EF8">
        <w:rPr>
          <w:lang w:val="en-US"/>
        </w:rPr>
        <w:t xml:space="preserve"> </w:t>
      </w:r>
      <w:r w:rsidRPr="00617432">
        <w:rPr>
          <w:lang w:val="en-US"/>
        </w:rPr>
        <w:t>enact and enforce national laws specifically protecting women and girls with</w:t>
      </w:r>
      <w:r>
        <w:rPr>
          <w:lang w:val="en-US"/>
        </w:rPr>
        <w:t xml:space="preserve"> </w:t>
      </w:r>
      <w:r w:rsidRPr="00617432">
        <w:rPr>
          <w:lang w:val="en-US"/>
        </w:rPr>
        <w:t>disabilities from all forms of violence, discrimination, and exploitation, and provide</w:t>
      </w:r>
      <w:r>
        <w:rPr>
          <w:lang w:val="en-US"/>
        </w:rPr>
        <w:t xml:space="preserve"> </w:t>
      </w:r>
      <w:r w:rsidRPr="00617432">
        <w:rPr>
          <w:lang w:val="en-US"/>
        </w:rPr>
        <w:t>them with holistic and tailored support services</w:t>
      </w:r>
      <w:r w:rsidR="00217EF8">
        <w:rPr>
          <w:lang w:val="en-US"/>
        </w:rPr>
        <w:t>”.</w:t>
      </w:r>
    </w:p>
    <w:p w14:paraId="1CC79D33" w14:textId="43A34A23" w:rsidR="00617432" w:rsidRPr="00617432" w:rsidRDefault="00617432" w:rsidP="00617432">
      <w:pPr>
        <w:pStyle w:val="Notedebasdepage"/>
        <w:rPr>
          <w:lang w:val="en-US"/>
        </w:rPr>
      </w:pPr>
    </w:p>
  </w:footnote>
  <w:footnote w:id="2">
    <w:p w14:paraId="6B3C94AC" w14:textId="77777777" w:rsidR="00200E45" w:rsidRPr="00276923" w:rsidRDefault="00200E45" w:rsidP="00200E45">
      <w:pPr>
        <w:pStyle w:val="Notedebasdepage"/>
        <w:rPr>
          <w:sz w:val="20"/>
          <w:lang w:val="fr-FR"/>
        </w:rPr>
      </w:pPr>
      <w:r w:rsidRPr="00B77DAD">
        <w:rPr>
          <w:vertAlign w:val="superscript"/>
        </w:rPr>
        <w:footnoteRef/>
      </w:r>
      <w:r w:rsidRPr="00FB1373">
        <w:rPr>
          <w:lang w:val="fr-SN"/>
        </w:rPr>
        <w:t>Agence Nationale de la Statistique et de la Démographie</w:t>
      </w:r>
      <w:r>
        <w:rPr>
          <w:lang w:val="fr-SN"/>
        </w:rPr>
        <w:t>,</w:t>
      </w:r>
      <w:r>
        <w:rPr>
          <w:sz w:val="20"/>
          <w:lang w:val="fr-FR"/>
        </w:rPr>
        <w:t xml:space="preserve"> </w:t>
      </w:r>
      <w:hyperlink r:id="rId2" w:history="1">
        <w:r w:rsidRPr="00FB1373">
          <w:rPr>
            <w:rStyle w:val="Lienhypertexte"/>
            <w:lang w:val="fr-SN"/>
          </w:rPr>
          <w:t>Rapport provisoire du 5ème Recensement général de la population et de l’habitat</w:t>
        </w:r>
      </w:hyperlink>
      <w:r w:rsidRPr="00732E3F">
        <w:rPr>
          <w:lang w:val="fr-FR"/>
        </w:rPr>
        <w:t>, 2023 (RGPH-5, 2023), July 2024 (available only in French)</w:t>
      </w:r>
      <w:r>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599856"/>
      <w:docPartObj>
        <w:docPartGallery w:val="Page Numbers (Top of Page)"/>
        <w:docPartUnique/>
      </w:docPartObj>
    </w:sdtPr>
    <w:sdtEndPr/>
    <w:sdtContent>
      <w:p w14:paraId="3194ABEB" w14:textId="164D549C" w:rsidR="00142A32" w:rsidRDefault="00142A32">
        <w:pPr>
          <w:pStyle w:val="En-tte"/>
          <w:jc w:val="right"/>
        </w:pPr>
        <w:r>
          <w:fldChar w:fldCharType="begin"/>
        </w:r>
        <w:r>
          <w:instrText>PAGE   \* MERGEFORMAT</w:instrText>
        </w:r>
        <w:r>
          <w:fldChar w:fldCharType="separate"/>
        </w:r>
        <w:r>
          <w:rPr>
            <w:lang w:val="fr-FR"/>
          </w:rPr>
          <w:t>2</w:t>
        </w:r>
        <w:r>
          <w:fldChar w:fldCharType="end"/>
        </w:r>
      </w:p>
    </w:sdtContent>
  </w:sdt>
  <w:p w14:paraId="174EA895" w14:textId="77777777" w:rsidR="00142A32" w:rsidRDefault="00142A32">
    <w:pPr>
      <w:pStyle w:val="En-tte"/>
    </w:pPr>
  </w:p>
</w:hdr>
</file>

<file path=word/intelligence2.xml><?xml version="1.0" encoding="utf-8"?>
<int2:intelligence xmlns:int2="http://schemas.microsoft.com/office/intelligence/2020/intelligence" xmlns:oel="http://schemas.microsoft.com/office/2019/extlst">
  <int2:observations>
    <int2:textHash int2:hashCode="7RajkCCrW1MHtG" int2:id="4MZ7Nga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555"/>
    <w:multiLevelType w:val="hybridMultilevel"/>
    <w:tmpl w:val="D65031DE"/>
    <w:lvl w:ilvl="0" w:tplc="A560F3D8">
      <w:start w:val="1"/>
      <w:numFmt w:val="bullet"/>
      <w:lvlText w:val=""/>
      <w:lvlJc w:val="left"/>
      <w:pPr>
        <w:ind w:left="360" w:hanging="360"/>
      </w:pPr>
      <w:rPr>
        <w:rFonts w:ascii="Symbol" w:hAnsi="Symbol" w:hint="default"/>
      </w:rPr>
    </w:lvl>
    <w:lvl w:ilvl="1" w:tplc="4FCA5798" w:tentative="1">
      <w:start w:val="1"/>
      <w:numFmt w:val="bullet"/>
      <w:lvlText w:val="o"/>
      <w:lvlJc w:val="left"/>
      <w:pPr>
        <w:ind w:left="1080" w:hanging="360"/>
      </w:pPr>
      <w:rPr>
        <w:rFonts w:ascii="Courier New" w:hAnsi="Courier New" w:hint="default"/>
      </w:rPr>
    </w:lvl>
    <w:lvl w:ilvl="2" w:tplc="DDEA1ECA" w:tentative="1">
      <w:start w:val="1"/>
      <w:numFmt w:val="bullet"/>
      <w:lvlText w:val=""/>
      <w:lvlJc w:val="left"/>
      <w:pPr>
        <w:ind w:left="1800" w:hanging="360"/>
      </w:pPr>
      <w:rPr>
        <w:rFonts w:ascii="Wingdings" w:hAnsi="Wingdings" w:hint="default"/>
      </w:rPr>
    </w:lvl>
    <w:lvl w:ilvl="3" w:tplc="A39ACF8C" w:tentative="1">
      <w:start w:val="1"/>
      <w:numFmt w:val="bullet"/>
      <w:lvlText w:val=""/>
      <w:lvlJc w:val="left"/>
      <w:pPr>
        <w:ind w:left="2520" w:hanging="360"/>
      </w:pPr>
      <w:rPr>
        <w:rFonts w:ascii="Symbol" w:hAnsi="Symbol" w:hint="default"/>
      </w:rPr>
    </w:lvl>
    <w:lvl w:ilvl="4" w:tplc="B0900458" w:tentative="1">
      <w:start w:val="1"/>
      <w:numFmt w:val="bullet"/>
      <w:lvlText w:val="o"/>
      <w:lvlJc w:val="left"/>
      <w:pPr>
        <w:ind w:left="3240" w:hanging="360"/>
      </w:pPr>
      <w:rPr>
        <w:rFonts w:ascii="Courier New" w:hAnsi="Courier New" w:hint="default"/>
      </w:rPr>
    </w:lvl>
    <w:lvl w:ilvl="5" w:tplc="05780F94" w:tentative="1">
      <w:start w:val="1"/>
      <w:numFmt w:val="bullet"/>
      <w:lvlText w:val=""/>
      <w:lvlJc w:val="left"/>
      <w:pPr>
        <w:ind w:left="3960" w:hanging="360"/>
      </w:pPr>
      <w:rPr>
        <w:rFonts w:ascii="Wingdings" w:hAnsi="Wingdings" w:hint="default"/>
      </w:rPr>
    </w:lvl>
    <w:lvl w:ilvl="6" w:tplc="E3D4EE60" w:tentative="1">
      <w:start w:val="1"/>
      <w:numFmt w:val="bullet"/>
      <w:lvlText w:val=""/>
      <w:lvlJc w:val="left"/>
      <w:pPr>
        <w:ind w:left="4680" w:hanging="360"/>
      </w:pPr>
      <w:rPr>
        <w:rFonts w:ascii="Symbol" w:hAnsi="Symbol" w:hint="default"/>
      </w:rPr>
    </w:lvl>
    <w:lvl w:ilvl="7" w:tplc="7584D120" w:tentative="1">
      <w:start w:val="1"/>
      <w:numFmt w:val="bullet"/>
      <w:lvlText w:val="o"/>
      <w:lvlJc w:val="left"/>
      <w:pPr>
        <w:ind w:left="5400" w:hanging="360"/>
      </w:pPr>
      <w:rPr>
        <w:rFonts w:ascii="Courier New" w:hAnsi="Courier New" w:hint="default"/>
      </w:rPr>
    </w:lvl>
    <w:lvl w:ilvl="8" w:tplc="67CEE44C" w:tentative="1">
      <w:start w:val="1"/>
      <w:numFmt w:val="bullet"/>
      <w:lvlText w:val=""/>
      <w:lvlJc w:val="left"/>
      <w:pPr>
        <w:ind w:left="6120" w:hanging="360"/>
      </w:pPr>
      <w:rPr>
        <w:rFonts w:ascii="Wingdings" w:hAnsi="Wingdings" w:hint="default"/>
      </w:rPr>
    </w:lvl>
  </w:abstractNum>
  <w:abstractNum w:abstractNumId="1" w15:restartNumberingAfterBreak="0">
    <w:nsid w:val="04350E70"/>
    <w:multiLevelType w:val="hybridMultilevel"/>
    <w:tmpl w:val="21D09B9A"/>
    <w:lvl w:ilvl="0" w:tplc="92649A44">
      <w:start w:val="1"/>
      <w:numFmt w:val="bullet"/>
      <w:lvlText w:val=""/>
      <w:lvlJc w:val="left"/>
      <w:pPr>
        <w:ind w:left="360" w:hanging="360"/>
      </w:pPr>
      <w:rPr>
        <w:rFonts w:ascii="Symbol" w:hAnsi="Symbol" w:hint="default"/>
      </w:rPr>
    </w:lvl>
    <w:lvl w:ilvl="1" w:tplc="A17CB552" w:tentative="1">
      <w:start w:val="1"/>
      <w:numFmt w:val="bullet"/>
      <w:lvlText w:val="o"/>
      <w:lvlJc w:val="left"/>
      <w:pPr>
        <w:ind w:left="1080" w:hanging="360"/>
      </w:pPr>
      <w:rPr>
        <w:rFonts w:ascii="Courier New" w:hAnsi="Courier New" w:hint="default"/>
      </w:rPr>
    </w:lvl>
    <w:lvl w:ilvl="2" w:tplc="7850390E" w:tentative="1">
      <w:start w:val="1"/>
      <w:numFmt w:val="bullet"/>
      <w:lvlText w:val=""/>
      <w:lvlJc w:val="left"/>
      <w:pPr>
        <w:ind w:left="1800" w:hanging="360"/>
      </w:pPr>
      <w:rPr>
        <w:rFonts w:ascii="Wingdings" w:hAnsi="Wingdings" w:hint="default"/>
      </w:rPr>
    </w:lvl>
    <w:lvl w:ilvl="3" w:tplc="5EB6D058" w:tentative="1">
      <w:start w:val="1"/>
      <w:numFmt w:val="bullet"/>
      <w:lvlText w:val=""/>
      <w:lvlJc w:val="left"/>
      <w:pPr>
        <w:ind w:left="2520" w:hanging="360"/>
      </w:pPr>
      <w:rPr>
        <w:rFonts w:ascii="Symbol" w:hAnsi="Symbol" w:hint="default"/>
      </w:rPr>
    </w:lvl>
    <w:lvl w:ilvl="4" w:tplc="66A64550" w:tentative="1">
      <w:start w:val="1"/>
      <w:numFmt w:val="bullet"/>
      <w:lvlText w:val="o"/>
      <w:lvlJc w:val="left"/>
      <w:pPr>
        <w:ind w:left="3240" w:hanging="360"/>
      </w:pPr>
      <w:rPr>
        <w:rFonts w:ascii="Courier New" w:hAnsi="Courier New" w:hint="default"/>
      </w:rPr>
    </w:lvl>
    <w:lvl w:ilvl="5" w:tplc="932EE6EC" w:tentative="1">
      <w:start w:val="1"/>
      <w:numFmt w:val="bullet"/>
      <w:lvlText w:val=""/>
      <w:lvlJc w:val="left"/>
      <w:pPr>
        <w:ind w:left="3960" w:hanging="360"/>
      </w:pPr>
      <w:rPr>
        <w:rFonts w:ascii="Wingdings" w:hAnsi="Wingdings" w:hint="default"/>
      </w:rPr>
    </w:lvl>
    <w:lvl w:ilvl="6" w:tplc="77E299AC" w:tentative="1">
      <w:start w:val="1"/>
      <w:numFmt w:val="bullet"/>
      <w:lvlText w:val=""/>
      <w:lvlJc w:val="left"/>
      <w:pPr>
        <w:ind w:left="4680" w:hanging="360"/>
      </w:pPr>
      <w:rPr>
        <w:rFonts w:ascii="Symbol" w:hAnsi="Symbol" w:hint="default"/>
      </w:rPr>
    </w:lvl>
    <w:lvl w:ilvl="7" w:tplc="E416BB52" w:tentative="1">
      <w:start w:val="1"/>
      <w:numFmt w:val="bullet"/>
      <w:lvlText w:val="o"/>
      <w:lvlJc w:val="left"/>
      <w:pPr>
        <w:ind w:left="5400" w:hanging="360"/>
      </w:pPr>
      <w:rPr>
        <w:rFonts w:ascii="Courier New" w:hAnsi="Courier New" w:hint="default"/>
      </w:rPr>
    </w:lvl>
    <w:lvl w:ilvl="8" w:tplc="CAF48E10" w:tentative="1">
      <w:start w:val="1"/>
      <w:numFmt w:val="bullet"/>
      <w:lvlText w:val=""/>
      <w:lvlJc w:val="left"/>
      <w:pPr>
        <w:ind w:left="6120" w:hanging="360"/>
      </w:pPr>
      <w:rPr>
        <w:rFonts w:ascii="Wingdings" w:hAnsi="Wingdings" w:hint="default"/>
      </w:rPr>
    </w:lvl>
  </w:abstractNum>
  <w:abstractNum w:abstractNumId="2" w15:restartNumberingAfterBreak="0">
    <w:nsid w:val="08541C76"/>
    <w:multiLevelType w:val="multilevel"/>
    <w:tmpl w:val="1388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461C1"/>
    <w:multiLevelType w:val="hybridMultilevel"/>
    <w:tmpl w:val="C6181372"/>
    <w:lvl w:ilvl="0" w:tplc="1C181B52">
      <w:start w:val="2"/>
      <w:numFmt w:val="bullet"/>
      <w:lvlText w:val="-"/>
      <w:lvlJc w:val="left"/>
      <w:pPr>
        <w:ind w:left="360" w:hanging="360"/>
      </w:pPr>
      <w:rPr>
        <w:rFonts w:ascii="Aptos" w:hAnsi="Aptos" w:hint="default"/>
      </w:rPr>
    </w:lvl>
    <w:lvl w:ilvl="1" w:tplc="8702D776">
      <w:start w:val="1"/>
      <w:numFmt w:val="bullet"/>
      <w:lvlText w:val="o"/>
      <w:lvlJc w:val="left"/>
      <w:pPr>
        <w:ind w:left="1080" w:hanging="360"/>
      </w:pPr>
      <w:rPr>
        <w:rFonts w:ascii="Courier New" w:hAnsi="Courier New" w:hint="default"/>
      </w:rPr>
    </w:lvl>
    <w:lvl w:ilvl="2" w:tplc="73947810">
      <w:start w:val="1"/>
      <w:numFmt w:val="bullet"/>
      <w:lvlText w:val=""/>
      <w:lvlJc w:val="left"/>
      <w:pPr>
        <w:ind w:left="1800" w:hanging="360"/>
      </w:pPr>
      <w:rPr>
        <w:rFonts w:ascii="Wingdings" w:hAnsi="Wingdings" w:hint="default"/>
      </w:rPr>
    </w:lvl>
    <w:lvl w:ilvl="3" w:tplc="6B644F32">
      <w:start w:val="1"/>
      <w:numFmt w:val="bullet"/>
      <w:lvlText w:val=""/>
      <w:lvlJc w:val="left"/>
      <w:pPr>
        <w:ind w:left="2520" w:hanging="360"/>
      </w:pPr>
      <w:rPr>
        <w:rFonts w:ascii="Symbol" w:hAnsi="Symbol" w:hint="default"/>
      </w:rPr>
    </w:lvl>
    <w:lvl w:ilvl="4" w:tplc="91E4427A">
      <w:start w:val="1"/>
      <w:numFmt w:val="bullet"/>
      <w:lvlText w:val="o"/>
      <w:lvlJc w:val="left"/>
      <w:pPr>
        <w:ind w:left="3240" w:hanging="360"/>
      </w:pPr>
      <w:rPr>
        <w:rFonts w:ascii="Courier New" w:hAnsi="Courier New" w:hint="default"/>
      </w:rPr>
    </w:lvl>
    <w:lvl w:ilvl="5" w:tplc="B3E6ECAE">
      <w:start w:val="1"/>
      <w:numFmt w:val="bullet"/>
      <w:lvlText w:val=""/>
      <w:lvlJc w:val="left"/>
      <w:pPr>
        <w:ind w:left="3960" w:hanging="360"/>
      </w:pPr>
      <w:rPr>
        <w:rFonts w:ascii="Wingdings" w:hAnsi="Wingdings" w:hint="default"/>
      </w:rPr>
    </w:lvl>
    <w:lvl w:ilvl="6" w:tplc="767AB8D6">
      <w:start w:val="1"/>
      <w:numFmt w:val="bullet"/>
      <w:lvlText w:val=""/>
      <w:lvlJc w:val="left"/>
      <w:pPr>
        <w:ind w:left="4680" w:hanging="360"/>
      </w:pPr>
      <w:rPr>
        <w:rFonts w:ascii="Symbol" w:hAnsi="Symbol" w:hint="default"/>
      </w:rPr>
    </w:lvl>
    <w:lvl w:ilvl="7" w:tplc="88B06DB6">
      <w:start w:val="1"/>
      <w:numFmt w:val="bullet"/>
      <w:lvlText w:val="o"/>
      <w:lvlJc w:val="left"/>
      <w:pPr>
        <w:ind w:left="5400" w:hanging="360"/>
      </w:pPr>
      <w:rPr>
        <w:rFonts w:ascii="Courier New" w:hAnsi="Courier New" w:hint="default"/>
      </w:rPr>
    </w:lvl>
    <w:lvl w:ilvl="8" w:tplc="57DAA1A4">
      <w:start w:val="1"/>
      <w:numFmt w:val="bullet"/>
      <w:lvlText w:val=""/>
      <w:lvlJc w:val="left"/>
      <w:pPr>
        <w:ind w:left="6120" w:hanging="360"/>
      </w:pPr>
      <w:rPr>
        <w:rFonts w:ascii="Wingdings" w:hAnsi="Wingdings" w:hint="default"/>
      </w:rPr>
    </w:lvl>
  </w:abstractNum>
  <w:abstractNum w:abstractNumId="4" w15:restartNumberingAfterBreak="0">
    <w:nsid w:val="14EE3331"/>
    <w:multiLevelType w:val="hybridMultilevel"/>
    <w:tmpl w:val="E34A47D0"/>
    <w:lvl w:ilvl="0" w:tplc="AE884A4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CA292"/>
    <w:multiLevelType w:val="hybridMultilevel"/>
    <w:tmpl w:val="41361FA6"/>
    <w:lvl w:ilvl="0" w:tplc="8F5EA17E">
      <w:start w:val="1"/>
      <w:numFmt w:val="bullet"/>
      <w:lvlText w:val=""/>
      <w:lvlJc w:val="left"/>
      <w:pPr>
        <w:ind w:left="360" w:hanging="360"/>
      </w:pPr>
      <w:rPr>
        <w:rFonts w:ascii="Symbol" w:hAnsi="Symbol" w:hint="default"/>
      </w:rPr>
    </w:lvl>
    <w:lvl w:ilvl="1" w:tplc="E794CA78">
      <w:start w:val="1"/>
      <w:numFmt w:val="bullet"/>
      <w:lvlText w:val="o"/>
      <w:lvlJc w:val="left"/>
      <w:pPr>
        <w:ind w:left="1080" w:hanging="360"/>
      </w:pPr>
      <w:rPr>
        <w:rFonts w:ascii="Courier New" w:hAnsi="Courier New" w:hint="default"/>
      </w:rPr>
    </w:lvl>
    <w:lvl w:ilvl="2" w:tplc="F906F9BE">
      <w:start w:val="1"/>
      <w:numFmt w:val="bullet"/>
      <w:lvlText w:val=""/>
      <w:lvlJc w:val="left"/>
      <w:pPr>
        <w:ind w:left="1800" w:hanging="360"/>
      </w:pPr>
      <w:rPr>
        <w:rFonts w:ascii="Wingdings" w:hAnsi="Wingdings" w:hint="default"/>
      </w:rPr>
    </w:lvl>
    <w:lvl w:ilvl="3" w:tplc="9F26DFA6">
      <w:start w:val="1"/>
      <w:numFmt w:val="bullet"/>
      <w:lvlText w:val=""/>
      <w:lvlJc w:val="left"/>
      <w:pPr>
        <w:ind w:left="2520" w:hanging="360"/>
      </w:pPr>
      <w:rPr>
        <w:rFonts w:ascii="Symbol" w:hAnsi="Symbol" w:hint="default"/>
      </w:rPr>
    </w:lvl>
    <w:lvl w:ilvl="4" w:tplc="73CE1FD2">
      <w:start w:val="1"/>
      <w:numFmt w:val="bullet"/>
      <w:lvlText w:val="o"/>
      <w:lvlJc w:val="left"/>
      <w:pPr>
        <w:ind w:left="3240" w:hanging="360"/>
      </w:pPr>
      <w:rPr>
        <w:rFonts w:ascii="Courier New" w:hAnsi="Courier New" w:hint="default"/>
      </w:rPr>
    </w:lvl>
    <w:lvl w:ilvl="5" w:tplc="2898947C">
      <w:start w:val="1"/>
      <w:numFmt w:val="bullet"/>
      <w:lvlText w:val=""/>
      <w:lvlJc w:val="left"/>
      <w:pPr>
        <w:ind w:left="3960" w:hanging="360"/>
      </w:pPr>
      <w:rPr>
        <w:rFonts w:ascii="Wingdings" w:hAnsi="Wingdings" w:hint="default"/>
      </w:rPr>
    </w:lvl>
    <w:lvl w:ilvl="6" w:tplc="DCEAA2D8">
      <w:start w:val="1"/>
      <w:numFmt w:val="bullet"/>
      <w:lvlText w:val=""/>
      <w:lvlJc w:val="left"/>
      <w:pPr>
        <w:ind w:left="4680" w:hanging="360"/>
      </w:pPr>
      <w:rPr>
        <w:rFonts w:ascii="Symbol" w:hAnsi="Symbol" w:hint="default"/>
      </w:rPr>
    </w:lvl>
    <w:lvl w:ilvl="7" w:tplc="B4E8C5A0">
      <w:start w:val="1"/>
      <w:numFmt w:val="bullet"/>
      <w:lvlText w:val="o"/>
      <w:lvlJc w:val="left"/>
      <w:pPr>
        <w:ind w:left="5400" w:hanging="360"/>
      </w:pPr>
      <w:rPr>
        <w:rFonts w:ascii="Courier New" w:hAnsi="Courier New" w:hint="default"/>
      </w:rPr>
    </w:lvl>
    <w:lvl w:ilvl="8" w:tplc="19CCEDE0">
      <w:start w:val="1"/>
      <w:numFmt w:val="bullet"/>
      <w:lvlText w:val=""/>
      <w:lvlJc w:val="left"/>
      <w:pPr>
        <w:ind w:left="6120" w:hanging="360"/>
      </w:pPr>
      <w:rPr>
        <w:rFonts w:ascii="Wingdings" w:hAnsi="Wingdings" w:hint="default"/>
      </w:rPr>
    </w:lvl>
  </w:abstractNum>
  <w:abstractNum w:abstractNumId="6" w15:restartNumberingAfterBreak="0">
    <w:nsid w:val="1A6C5414"/>
    <w:multiLevelType w:val="hybridMultilevel"/>
    <w:tmpl w:val="71DEE7DA"/>
    <w:lvl w:ilvl="0" w:tplc="73944E7A">
      <w:start w:val="1"/>
      <w:numFmt w:val="bullet"/>
      <w:lvlText w:val=""/>
      <w:lvlJc w:val="left"/>
      <w:pPr>
        <w:ind w:left="360" w:hanging="360"/>
      </w:pPr>
      <w:rPr>
        <w:rFonts w:ascii="Symbol" w:hAnsi="Symbol" w:hint="default"/>
      </w:rPr>
    </w:lvl>
    <w:lvl w:ilvl="1" w:tplc="1DBAA86C" w:tentative="1">
      <w:start w:val="1"/>
      <w:numFmt w:val="bullet"/>
      <w:lvlText w:val="o"/>
      <w:lvlJc w:val="left"/>
      <w:pPr>
        <w:ind w:left="1080" w:hanging="360"/>
      </w:pPr>
      <w:rPr>
        <w:rFonts w:ascii="Courier New" w:hAnsi="Courier New" w:hint="default"/>
      </w:rPr>
    </w:lvl>
    <w:lvl w:ilvl="2" w:tplc="CD90AF46" w:tentative="1">
      <w:start w:val="1"/>
      <w:numFmt w:val="bullet"/>
      <w:lvlText w:val=""/>
      <w:lvlJc w:val="left"/>
      <w:pPr>
        <w:ind w:left="1800" w:hanging="360"/>
      </w:pPr>
      <w:rPr>
        <w:rFonts w:ascii="Wingdings" w:hAnsi="Wingdings" w:hint="default"/>
      </w:rPr>
    </w:lvl>
    <w:lvl w:ilvl="3" w:tplc="7E504728" w:tentative="1">
      <w:start w:val="1"/>
      <w:numFmt w:val="bullet"/>
      <w:lvlText w:val=""/>
      <w:lvlJc w:val="left"/>
      <w:pPr>
        <w:ind w:left="2520" w:hanging="360"/>
      </w:pPr>
      <w:rPr>
        <w:rFonts w:ascii="Symbol" w:hAnsi="Symbol" w:hint="default"/>
      </w:rPr>
    </w:lvl>
    <w:lvl w:ilvl="4" w:tplc="2FB8FC26" w:tentative="1">
      <w:start w:val="1"/>
      <w:numFmt w:val="bullet"/>
      <w:lvlText w:val="o"/>
      <w:lvlJc w:val="left"/>
      <w:pPr>
        <w:ind w:left="3240" w:hanging="360"/>
      </w:pPr>
      <w:rPr>
        <w:rFonts w:ascii="Courier New" w:hAnsi="Courier New" w:hint="default"/>
      </w:rPr>
    </w:lvl>
    <w:lvl w:ilvl="5" w:tplc="E7E867D8" w:tentative="1">
      <w:start w:val="1"/>
      <w:numFmt w:val="bullet"/>
      <w:lvlText w:val=""/>
      <w:lvlJc w:val="left"/>
      <w:pPr>
        <w:ind w:left="3960" w:hanging="360"/>
      </w:pPr>
      <w:rPr>
        <w:rFonts w:ascii="Wingdings" w:hAnsi="Wingdings" w:hint="default"/>
      </w:rPr>
    </w:lvl>
    <w:lvl w:ilvl="6" w:tplc="4A56246C" w:tentative="1">
      <w:start w:val="1"/>
      <w:numFmt w:val="bullet"/>
      <w:lvlText w:val=""/>
      <w:lvlJc w:val="left"/>
      <w:pPr>
        <w:ind w:left="4680" w:hanging="360"/>
      </w:pPr>
      <w:rPr>
        <w:rFonts w:ascii="Symbol" w:hAnsi="Symbol" w:hint="default"/>
      </w:rPr>
    </w:lvl>
    <w:lvl w:ilvl="7" w:tplc="991069BC" w:tentative="1">
      <w:start w:val="1"/>
      <w:numFmt w:val="bullet"/>
      <w:lvlText w:val="o"/>
      <w:lvlJc w:val="left"/>
      <w:pPr>
        <w:ind w:left="5400" w:hanging="360"/>
      </w:pPr>
      <w:rPr>
        <w:rFonts w:ascii="Courier New" w:hAnsi="Courier New" w:hint="default"/>
      </w:rPr>
    </w:lvl>
    <w:lvl w:ilvl="8" w:tplc="EC7A8AFA" w:tentative="1">
      <w:start w:val="1"/>
      <w:numFmt w:val="bullet"/>
      <w:lvlText w:val=""/>
      <w:lvlJc w:val="left"/>
      <w:pPr>
        <w:ind w:left="6120" w:hanging="360"/>
      </w:pPr>
      <w:rPr>
        <w:rFonts w:ascii="Wingdings" w:hAnsi="Wingdings" w:hint="default"/>
      </w:rPr>
    </w:lvl>
  </w:abstractNum>
  <w:abstractNum w:abstractNumId="7" w15:restartNumberingAfterBreak="0">
    <w:nsid w:val="1D0C1477"/>
    <w:multiLevelType w:val="hybridMultilevel"/>
    <w:tmpl w:val="AAD07508"/>
    <w:lvl w:ilvl="0" w:tplc="9DC66048">
      <w:start w:val="1"/>
      <w:numFmt w:val="bullet"/>
      <w:lvlText w:val=""/>
      <w:lvlJc w:val="left"/>
      <w:pPr>
        <w:ind w:left="360" w:hanging="360"/>
      </w:pPr>
      <w:rPr>
        <w:rFonts w:ascii="Symbol" w:hAnsi="Symbol" w:hint="default"/>
      </w:rPr>
    </w:lvl>
    <w:lvl w:ilvl="1" w:tplc="29D08786" w:tentative="1">
      <w:start w:val="1"/>
      <w:numFmt w:val="bullet"/>
      <w:lvlText w:val="o"/>
      <w:lvlJc w:val="left"/>
      <w:pPr>
        <w:ind w:left="1080" w:hanging="360"/>
      </w:pPr>
      <w:rPr>
        <w:rFonts w:ascii="Courier New" w:hAnsi="Courier New" w:hint="default"/>
      </w:rPr>
    </w:lvl>
    <w:lvl w:ilvl="2" w:tplc="88406666" w:tentative="1">
      <w:start w:val="1"/>
      <w:numFmt w:val="bullet"/>
      <w:lvlText w:val=""/>
      <w:lvlJc w:val="left"/>
      <w:pPr>
        <w:ind w:left="1800" w:hanging="360"/>
      </w:pPr>
      <w:rPr>
        <w:rFonts w:ascii="Wingdings" w:hAnsi="Wingdings" w:hint="default"/>
      </w:rPr>
    </w:lvl>
    <w:lvl w:ilvl="3" w:tplc="DFFC4F30" w:tentative="1">
      <w:start w:val="1"/>
      <w:numFmt w:val="bullet"/>
      <w:lvlText w:val=""/>
      <w:lvlJc w:val="left"/>
      <w:pPr>
        <w:ind w:left="2520" w:hanging="360"/>
      </w:pPr>
      <w:rPr>
        <w:rFonts w:ascii="Symbol" w:hAnsi="Symbol" w:hint="default"/>
      </w:rPr>
    </w:lvl>
    <w:lvl w:ilvl="4" w:tplc="678A7E6C" w:tentative="1">
      <w:start w:val="1"/>
      <w:numFmt w:val="bullet"/>
      <w:lvlText w:val="o"/>
      <w:lvlJc w:val="left"/>
      <w:pPr>
        <w:ind w:left="3240" w:hanging="360"/>
      </w:pPr>
      <w:rPr>
        <w:rFonts w:ascii="Courier New" w:hAnsi="Courier New" w:hint="default"/>
      </w:rPr>
    </w:lvl>
    <w:lvl w:ilvl="5" w:tplc="82E64808" w:tentative="1">
      <w:start w:val="1"/>
      <w:numFmt w:val="bullet"/>
      <w:lvlText w:val=""/>
      <w:lvlJc w:val="left"/>
      <w:pPr>
        <w:ind w:left="3960" w:hanging="360"/>
      </w:pPr>
      <w:rPr>
        <w:rFonts w:ascii="Wingdings" w:hAnsi="Wingdings" w:hint="default"/>
      </w:rPr>
    </w:lvl>
    <w:lvl w:ilvl="6" w:tplc="F014AFDA" w:tentative="1">
      <w:start w:val="1"/>
      <w:numFmt w:val="bullet"/>
      <w:lvlText w:val=""/>
      <w:lvlJc w:val="left"/>
      <w:pPr>
        <w:ind w:left="4680" w:hanging="360"/>
      </w:pPr>
      <w:rPr>
        <w:rFonts w:ascii="Symbol" w:hAnsi="Symbol" w:hint="default"/>
      </w:rPr>
    </w:lvl>
    <w:lvl w:ilvl="7" w:tplc="B1B01A20" w:tentative="1">
      <w:start w:val="1"/>
      <w:numFmt w:val="bullet"/>
      <w:lvlText w:val="o"/>
      <w:lvlJc w:val="left"/>
      <w:pPr>
        <w:ind w:left="5400" w:hanging="360"/>
      </w:pPr>
      <w:rPr>
        <w:rFonts w:ascii="Courier New" w:hAnsi="Courier New" w:hint="default"/>
      </w:rPr>
    </w:lvl>
    <w:lvl w:ilvl="8" w:tplc="9A44C280" w:tentative="1">
      <w:start w:val="1"/>
      <w:numFmt w:val="bullet"/>
      <w:lvlText w:val=""/>
      <w:lvlJc w:val="left"/>
      <w:pPr>
        <w:ind w:left="6120" w:hanging="360"/>
      </w:pPr>
      <w:rPr>
        <w:rFonts w:ascii="Wingdings" w:hAnsi="Wingdings" w:hint="default"/>
      </w:rPr>
    </w:lvl>
  </w:abstractNum>
  <w:abstractNum w:abstractNumId="8" w15:restartNumberingAfterBreak="0">
    <w:nsid w:val="1FDF5479"/>
    <w:multiLevelType w:val="hybridMultilevel"/>
    <w:tmpl w:val="D53CE056"/>
    <w:lvl w:ilvl="0" w:tplc="E0A84DC8">
      <w:start w:val="1"/>
      <w:numFmt w:val="decimal"/>
      <w:lvlText w:val="G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347BC"/>
    <w:multiLevelType w:val="multilevel"/>
    <w:tmpl w:val="7572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F7861"/>
    <w:multiLevelType w:val="multilevel"/>
    <w:tmpl w:val="DD3C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35E05"/>
    <w:multiLevelType w:val="hybridMultilevel"/>
    <w:tmpl w:val="694E6F12"/>
    <w:lvl w:ilvl="0" w:tplc="931404F0">
      <w:start w:val="1"/>
      <w:numFmt w:val="decimal"/>
      <w:pStyle w:val="Titre3"/>
      <w:lvlText w:val="Jeu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68698DC"/>
    <w:multiLevelType w:val="hybridMultilevel"/>
    <w:tmpl w:val="87F66114"/>
    <w:lvl w:ilvl="0" w:tplc="B03091EC">
      <w:start w:val="1"/>
      <w:numFmt w:val="bullet"/>
      <w:lvlText w:val=""/>
      <w:lvlJc w:val="left"/>
      <w:pPr>
        <w:ind w:left="360" w:hanging="360"/>
      </w:pPr>
      <w:rPr>
        <w:rFonts w:ascii="Symbol" w:hAnsi="Symbol" w:hint="default"/>
      </w:rPr>
    </w:lvl>
    <w:lvl w:ilvl="1" w:tplc="8D7069C6">
      <w:start w:val="1"/>
      <w:numFmt w:val="bullet"/>
      <w:lvlText w:val="o"/>
      <w:lvlJc w:val="left"/>
      <w:pPr>
        <w:ind w:left="1080" w:hanging="360"/>
      </w:pPr>
      <w:rPr>
        <w:rFonts w:ascii="Courier New" w:hAnsi="Courier New" w:hint="default"/>
      </w:rPr>
    </w:lvl>
    <w:lvl w:ilvl="2" w:tplc="6EECE866">
      <w:start w:val="1"/>
      <w:numFmt w:val="bullet"/>
      <w:lvlText w:val=""/>
      <w:lvlJc w:val="left"/>
      <w:pPr>
        <w:ind w:left="1800" w:hanging="360"/>
      </w:pPr>
      <w:rPr>
        <w:rFonts w:ascii="Wingdings" w:hAnsi="Wingdings" w:hint="default"/>
      </w:rPr>
    </w:lvl>
    <w:lvl w:ilvl="3" w:tplc="2334EF36">
      <w:start w:val="1"/>
      <w:numFmt w:val="bullet"/>
      <w:lvlText w:val=""/>
      <w:lvlJc w:val="left"/>
      <w:pPr>
        <w:ind w:left="2520" w:hanging="360"/>
      </w:pPr>
      <w:rPr>
        <w:rFonts w:ascii="Symbol" w:hAnsi="Symbol" w:hint="default"/>
      </w:rPr>
    </w:lvl>
    <w:lvl w:ilvl="4" w:tplc="8F80A710">
      <w:start w:val="1"/>
      <w:numFmt w:val="bullet"/>
      <w:lvlText w:val="o"/>
      <w:lvlJc w:val="left"/>
      <w:pPr>
        <w:ind w:left="3240" w:hanging="360"/>
      </w:pPr>
      <w:rPr>
        <w:rFonts w:ascii="Courier New" w:hAnsi="Courier New" w:hint="default"/>
      </w:rPr>
    </w:lvl>
    <w:lvl w:ilvl="5" w:tplc="9A482348">
      <w:start w:val="1"/>
      <w:numFmt w:val="bullet"/>
      <w:lvlText w:val=""/>
      <w:lvlJc w:val="left"/>
      <w:pPr>
        <w:ind w:left="3960" w:hanging="360"/>
      </w:pPr>
      <w:rPr>
        <w:rFonts w:ascii="Wingdings" w:hAnsi="Wingdings" w:hint="default"/>
      </w:rPr>
    </w:lvl>
    <w:lvl w:ilvl="6" w:tplc="06F68A4A">
      <w:start w:val="1"/>
      <w:numFmt w:val="bullet"/>
      <w:lvlText w:val=""/>
      <w:lvlJc w:val="left"/>
      <w:pPr>
        <w:ind w:left="4680" w:hanging="360"/>
      </w:pPr>
      <w:rPr>
        <w:rFonts w:ascii="Symbol" w:hAnsi="Symbol" w:hint="default"/>
      </w:rPr>
    </w:lvl>
    <w:lvl w:ilvl="7" w:tplc="A82C154C">
      <w:start w:val="1"/>
      <w:numFmt w:val="bullet"/>
      <w:lvlText w:val="o"/>
      <w:lvlJc w:val="left"/>
      <w:pPr>
        <w:ind w:left="5400" w:hanging="360"/>
      </w:pPr>
      <w:rPr>
        <w:rFonts w:ascii="Courier New" w:hAnsi="Courier New" w:hint="default"/>
      </w:rPr>
    </w:lvl>
    <w:lvl w:ilvl="8" w:tplc="89BC787C">
      <w:start w:val="1"/>
      <w:numFmt w:val="bullet"/>
      <w:lvlText w:val=""/>
      <w:lvlJc w:val="left"/>
      <w:pPr>
        <w:ind w:left="6120" w:hanging="360"/>
      </w:pPr>
      <w:rPr>
        <w:rFonts w:ascii="Wingdings" w:hAnsi="Wingdings" w:hint="default"/>
      </w:rPr>
    </w:lvl>
  </w:abstractNum>
  <w:abstractNum w:abstractNumId="13" w15:restartNumberingAfterBreak="0">
    <w:nsid w:val="44982B7B"/>
    <w:multiLevelType w:val="multilevel"/>
    <w:tmpl w:val="8AC4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45FAC"/>
    <w:multiLevelType w:val="hybridMultilevel"/>
    <w:tmpl w:val="22B4AC6C"/>
    <w:lvl w:ilvl="0" w:tplc="CF547856">
      <w:start w:val="1"/>
      <w:numFmt w:val="bullet"/>
      <w:lvlText w:val=""/>
      <w:lvlJc w:val="left"/>
      <w:pPr>
        <w:ind w:left="360" w:hanging="360"/>
      </w:pPr>
      <w:rPr>
        <w:rFonts w:ascii="Symbol" w:hAnsi="Symbol" w:hint="default"/>
      </w:rPr>
    </w:lvl>
    <w:lvl w:ilvl="1" w:tplc="F0F47B3E" w:tentative="1">
      <w:start w:val="1"/>
      <w:numFmt w:val="bullet"/>
      <w:lvlText w:val="o"/>
      <w:lvlJc w:val="left"/>
      <w:pPr>
        <w:ind w:left="1080" w:hanging="360"/>
      </w:pPr>
      <w:rPr>
        <w:rFonts w:ascii="Courier New" w:hAnsi="Courier New" w:hint="default"/>
      </w:rPr>
    </w:lvl>
    <w:lvl w:ilvl="2" w:tplc="9586AA4C" w:tentative="1">
      <w:start w:val="1"/>
      <w:numFmt w:val="bullet"/>
      <w:lvlText w:val=""/>
      <w:lvlJc w:val="left"/>
      <w:pPr>
        <w:ind w:left="1800" w:hanging="360"/>
      </w:pPr>
      <w:rPr>
        <w:rFonts w:ascii="Wingdings" w:hAnsi="Wingdings" w:hint="default"/>
      </w:rPr>
    </w:lvl>
    <w:lvl w:ilvl="3" w:tplc="D2942C64" w:tentative="1">
      <w:start w:val="1"/>
      <w:numFmt w:val="bullet"/>
      <w:lvlText w:val=""/>
      <w:lvlJc w:val="left"/>
      <w:pPr>
        <w:ind w:left="2520" w:hanging="360"/>
      </w:pPr>
      <w:rPr>
        <w:rFonts w:ascii="Symbol" w:hAnsi="Symbol" w:hint="default"/>
      </w:rPr>
    </w:lvl>
    <w:lvl w:ilvl="4" w:tplc="7AFA607A" w:tentative="1">
      <w:start w:val="1"/>
      <w:numFmt w:val="bullet"/>
      <w:lvlText w:val="o"/>
      <w:lvlJc w:val="left"/>
      <w:pPr>
        <w:ind w:left="3240" w:hanging="360"/>
      </w:pPr>
      <w:rPr>
        <w:rFonts w:ascii="Courier New" w:hAnsi="Courier New" w:hint="default"/>
      </w:rPr>
    </w:lvl>
    <w:lvl w:ilvl="5" w:tplc="B40CA474" w:tentative="1">
      <w:start w:val="1"/>
      <w:numFmt w:val="bullet"/>
      <w:lvlText w:val=""/>
      <w:lvlJc w:val="left"/>
      <w:pPr>
        <w:ind w:left="3960" w:hanging="360"/>
      </w:pPr>
      <w:rPr>
        <w:rFonts w:ascii="Wingdings" w:hAnsi="Wingdings" w:hint="default"/>
      </w:rPr>
    </w:lvl>
    <w:lvl w:ilvl="6" w:tplc="7D861E26" w:tentative="1">
      <w:start w:val="1"/>
      <w:numFmt w:val="bullet"/>
      <w:lvlText w:val=""/>
      <w:lvlJc w:val="left"/>
      <w:pPr>
        <w:ind w:left="4680" w:hanging="360"/>
      </w:pPr>
      <w:rPr>
        <w:rFonts w:ascii="Symbol" w:hAnsi="Symbol" w:hint="default"/>
      </w:rPr>
    </w:lvl>
    <w:lvl w:ilvl="7" w:tplc="F18E7E80" w:tentative="1">
      <w:start w:val="1"/>
      <w:numFmt w:val="bullet"/>
      <w:lvlText w:val="o"/>
      <w:lvlJc w:val="left"/>
      <w:pPr>
        <w:ind w:left="5400" w:hanging="360"/>
      </w:pPr>
      <w:rPr>
        <w:rFonts w:ascii="Courier New" w:hAnsi="Courier New" w:hint="default"/>
      </w:rPr>
    </w:lvl>
    <w:lvl w:ilvl="8" w:tplc="541ABE34" w:tentative="1">
      <w:start w:val="1"/>
      <w:numFmt w:val="bullet"/>
      <w:lvlText w:val=""/>
      <w:lvlJc w:val="left"/>
      <w:pPr>
        <w:ind w:left="6120" w:hanging="360"/>
      </w:pPr>
      <w:rPr>
        <w:rFonts w:ascii="Wingdings" w:hAnsi="Wingdings" w:hint="default"/>
      </w:rPr>
    </w:lvl>
  </w:abstractNum>
  <w:abstractNum w:abstractNumId="15" w15:restartNumberingAfterBreak="0">
    <w:nsid w:val="4C76A37A"/>
    <w:multiLevelType w:val="hybridMultilevel"/>
    <w:tmpl w:val="20500AC0"/>
    <w:lvl w:ilvl="0" w:tplc="D602BEDA">
      <w:start w:val="1"/>
      <w:numFmt w:val="bullet"/>
      <w:lvlText w:val=""/>
      <w:lvlJc w:val="left"/>
      <w:pPr>
        <w:ind w:left="360" w:hanging="360"/>
      </w:pPr>
      <w:rPr>
        <w:rFonts w:ascii="Symbol" w:hAnsi="Symbol" w:hint="default"/>
      </w:rPr>
    </w:lvl>
    <w:lvl w:ilvl="1" w:tplc="69987AA8">
      <w:start w:val="1"/>
      <w:numFmt w:val="bullet"/>
      <w:lvlText w:val="o"/>
      <w:lvlJc w:val="left"/>
      <w:pPr>
        <w:ind w:left="1080" w:hanging="360"/>
      </w:pPr>
      <w:rPr>
        <w:rFonts w:ascii="Courier New" w:hAnsi="Courier New" w:hint="default"/>
      </w:rPr>
    </w:lvl>
    <w:lvl w:ilvl="2" w:tplc="26587634">
      <w:start w:val="1"/>
      <w:numFmt w:val="bullet"/>
      <w:lvlText w:val=""/>
      <w:lvlJc w:val="left"/>
      <w:pPr>
        <w:ind w:left="1800" w:hanging="360"/>
      </w:pPr>
      <w:rPr>
        <w:rFonts w:ascii="Wingdings" w:hAnsi="Wingdings" w:hint="default"/>
      </w:rPr>
    </w:lvl>
    <w:lvl w:ilvl="3" w:tplc="0396F6B6">
      <w:start w:val="1"/>
      <w:numFmt w:val="bullet"/>
      <w:lvlText w:val=""/>
      <w:lvlJc w:val="left"/>
      <w:pPr>
        <w:ind w:left="2520" w:hanging="360"/>
      </w:pPr>
      <w:rPr>
        <w:rFonts w:ascii="Symbol" w:hAnsi="Symbol" w:hint="default"/>
      </w:rPr>
    </w:lvl>
    <w:lvl w:ilvl="4" w:tplc="4C968152">
      <w:start w:val="1"/>
      <w:numFmt w:val="bullet"/>
      <w:lvlText w:val="o"/>
      <w:lvlJc w:val="left"/>
      <w:pPr>
        <w:ind w:left="3240" w:hanging="360"/>
      </w:pPr>
      <w:rPr>
        <w:rFonts w:ascii="Courier New" w:hAnsi="Courier New" w:hint="default"/>
      </w:rPr>
    </w:lvl>
    <w:lvl w:ilvl="5" w:tplc="A38EF094">
      <w:start w:val="1"/>
      <w:numFmt w:val="bullet"/>
      <w:lvlText w:val=""/>
      <w:lvlJc w:val="left"/>
      <w:pPr>
        <w:ind w:left="3960" w:hanging="360"/>
      </w:pPr>
      <w:rPr>
        <w:rFonts w:ascii="Wingdings" w:hAnsi="Wingdings" w:hint="default"/>
      </w:rPr>
    </w:lvl>
    <w:lvl w:ilvl="6" w:tplc="1B1C5162">
      <w:start w:val="1"/>
      <w:numFmt w:val="bullet"/>
      <w:lvlText w:val=""/>
      <w:lvlJc w:val="left"/>
      <w:pPr>
        <w:ind w:left="4680" w:hanging="360"/>
      </w:pPr>
      <w:rPr>
        <w:rFonts w:ascii="Symbol" w:hAnsi="Symbol" w:hint="default"/>
      </w:rPr>
    </w:lvl>
    <w:lvl w:ilvl="7" w:tplc="AE6AB04A">
      <w:start w:val="1"/>
      <w:numFmt w:val="bullet"/>
      <w:lvlText w:val="o"/>
      <w:lvlJc w:val="left"/>
      <w:pPr>
        <w:ind w:left="5400" w:hanging="360"/>
      </w:pPr>
      <w:rPr>
        <w:rFonts w:ascii="Courier New" w:hAnsi="Courier New" w:hint="default"/>
      </w:rPr>
    </w:lvl>
    <w:lvl w:ilvl="8" w:tplc="B64C2BE2">
      <w:start w:val="1"/>
      <w:numFmt w:val="bullet"/>
      <w:lvlText w:val=""/>
      <w:lvlJc w:val="left"/>
      <w:pPr>
        <w:ind w:left="6120" w:hanging="360"/>
      </w:pPr>
      <w:rPr>
        <w:rFonts w:ascii="Wingdings" w:hAnsi="Wingdings" w:hint="default"/>
      </w:rPr>
    </w:lvl>
  </w:abstractNum>
  <w:abstractNum w:abstractNumId="16" w15:restartNumberingAfterBreak="0">
    <w:nsid w:val="52BE15DC"/>
    <w:multiLevelType w:val="hybridMultilevel"/>
    <w:tmpl w:val="A83A6740"/>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AE0294"/>
    <w:multiLevelType w:val="multilevel"/>
    <w:tmpl w:val="3C60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36DA5"/>
    <w:multiLevelType w:val="hybridMultilevel"/>
    <w:tmpl w:val="3C8060B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1F43AF"/>
    <w:multiLevelType w:val="multilevel"/>
    <w:tmpl w:val="C2CA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FA7594"/>
    <w:multiLevelType w:val="hybridMultilevel"/>
    <w:tmpl w:val="63CE2EF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749C5C77"/>
    <w:multiLevelType w:val="hybridMultilevel"/>
    <w:tmpl w:val="F98C1CD2"/>
    <w:lvl w:ilvl="0" w:tplc="047A20AE">
      <w:start w:val="1"/>
      <w:numFmt w:val="bullet"/>
      <w:lvlText w:val=""/>
      <w:lvlJc w:val="left"/>
      <w:pPr>
        <w:ind w:left="360" w:hanging="360"/>
      </w:pPr>
      <w:rPr>
        <w:rFonts w:ascii="Symbol" w:hAnsi="Symbol" w:hint="default"/>
      </w:rPr>
    </w:lvl>
    <w:lvl w:ilvl="1" w:tplc="FFFCFB5A" w:tentative="1">
      <w:start w:val="1"/>
      <w:numFmt w:val="bullet"/>
      <w:lvlText w:val="o"/>
      <w:lvlJc w:val="left"/>
      <w:pPr>
        <w:ind w:left="1080" w:hanging="360"/>
      </w:pPr>
      <w:rPr>
        <w:rFonts w:ascii="Courier New" w:hAnsi="Courier New" w:hint="default"/>
      </w:rPr>
    </w:lvl>
    <w:lvl w:ilvl="2" w:tplc="36DE307E" w:tentative="1">
      <w:start w:val="1"/>
      <w:numFmt w:val="bullet"/>
      <w:lvlText w:val=""/>
      <w:lvlJc w:val="left"/>
      <w:pPr>
        <w:ind w:left="1800" w:hanging="360"/>
      </w:pPr>
      <w:rPr>
        <w:rFonts w:ascii="Wingdings" w:hAnsi="Wingdings" w:hint="default"/>
      </w:rPr>
    </w:lvl>
    <w:lvl w:ilvl="3" w:tplc="BECC473A" w:tentative="1">
      <w:start w:val="1"/>
      <w:numFmt w:val="bullet"/>
      <w:lvlText w:val=""/>
      <w:lvlJc w:val="left"/>
      <w:pPr>
        <w:ind w:left="2520" w:hanging="360"/>
      </w:pPr>
      <w:rPr>
        <w:rFonts w:ascii="Symbol" w:hAnsi="Symbol" w:hint="default"/>
      </w:rPr>
    </w:lvl>
    <w:lvl w:ilvl="4" w:tplc="137AB2A0" w:tentative="1">
      <w:start w:val="1"/>
      <w:numFmt w:val="bullet"/>
      <w:lvlText w:val="o"/>
      <w:lvlJc w:val="left"/>
      <w:pPr>
        <w:ind w:left="3240" w:hanging="360"/>
      </w:pPr>
      <w:rPr>
        <w:rFonts w:ascii="Courier New" w:hAnsi="Courier New" w:hint="default"/>
      </w:rPr>
    </w:lvl>
    <w:lvl w:ilvl="5" w:tplc="4BB84354" w:tentative="1">
      <w:start w:val="1"/>
      <w:numFmt w:val="bullet"/>
      <w:lvlText w:val=""/>
      <w:lvlJc w:val="left"/>
      <w:pPr>
        <w:ind w:left="3960" w:hanging="360"/>
      </w:pPr>
      <w:rPr>
        <w:rFonts w:ascii="Wingdings" w:hAnsi="Wingdings" w:hint="default"/>
      </w:rPr>
    </w:lvl>
    <w:lvl w:ilvl="6" w:tplc="3FDAE5D6" w:tentative="1">
      <w:start w:val="1"/>
      <w:numFmt w:val="bullet"/>
      <w:lvlText w:val=""/>
      <w:lvlJc w:val="left"/>
      <w:pPr>
        <w:ind w:left="4680" w:hanging="360"/>
      </w:pPr>
      <w:rPr>
        <w:rFonts w:ascii="Symbol" w:hAnsi="Symbol" w:hint="default"/>
      </w:rPr>
    </w:lvl>
    <w:lvl w:ilvl="7" w:tplc="EADA713C" w:tentative="1">
      <w:start w:val="1"/>
      <w:numFmt w:val="bullet"/>
      <w:lvlText w:val="o"/>
      <w:lvlJc w:val="left"/>
      <w:pPr>
        <w:ind w:left="5400" w:hanging="360"/>
      </w:pPr>
      <w:rPr>
        <w:rFonts w:ascii="Courier New" w:hAnsi="Courier New" w:hint="default"/>
      </w:rPr>
    </w:lvl>
    <w:lvl w:ilvl="8" w:tplc="94F617D8" w:tentative="1">
      <w:start w:val="1"/>
      <w:numFmt w:val="bullet"/>
      <w:lvlText w:val=""/>
      <w:lvlJc w:val="left"/>
      <w:pPr>
        <w:ind w:left="6120" w:hanging="360"/>
      </w:pPr>
      <w:rPr>
        <w:rFonts w:ascii="Wingdings" w:hAnsi="Wingdings" w:hint="default"/>
      </w:rPr>
    </w:lvl>
  </w:abstractNum>
  <w:abstractNum w:abstractNumId="22" w15:restartNumberingAfterBreak="0">
    <w:nsid w:val="78AA661A"/>
    <w:multiLevelType w:val="hybridMultilevel"/>
    <w:tmpl w:val="9198188C"/>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9B26AD5"/>
    <w:multiLevelType w:val="multilevel"/>
    <w:tmpl w:val="68D6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233781">
    <w:abstractNumId w:val="12"/>
  </w:num>
  <w:num w:numId="2" w16cid:durableId="327288267">
    <w:abstractNumId w:val="5"/>
  </w:num>
  <w:num w:numId="3" w16cid:durableId="1742364769">
    <w:abstractNumId w:val="15"/>
  </w:num>
  <w:num w:numId="4" w16cid:durableId="922226794">
    <w:abstractNumId w:val="20"/>
  </w:num>
  <w:num w:numId="5" w16cid:durableId="862204881">
    <w:abstractNumId w:val="3"/>
  </w:num>
  <w:num w:numId="6" w16cid:durableId="780029813">
    <w:abstractNumId w:val="21"/>
  </w:num>
  <w:num w:numId="7" w16cid:durableId="1095977412">
    <w:abstractNumId w:val="14"/>
  </w:num>
  <w:num w:numId="8" w16cid:durableId="1319337236">
    <w:abstractNumId w:val="6"/>
  </w:num>
  <w:num w:numId="9" w16cid:durableId="203292864">
    <w:abstractNumId w:val="7"/>
  </w:num>
  <w:num w:numId="10" w16cid:durableId="416442249">
    <w:abstractNumId w:val="1"/>
  </w:num>
  <w:num w:numId="11" w16cid:durableId="723218686">
    <w:abstractNumId w:val="0"/>
  </w:num>
  <w:num w:numId="12" w16cid:durableId="1709454400">
    <w:abstractNumId w:val="11"/>
  </w:num>
  <w:num w:numId="13" w16cid:durableId="51470141">
    <w:abstractNumId w:val="8"/>
  </w:num>
  <w:num w:numId="14" w16cid:durableId="1816025235">
    <w:abstractNumId w:val="13"/>
  </w:num>
  <w:num w:numId="15" w16cid:durableId="1541626817">
    <w:abstractNumId w:val="11"/>
  </w:num>
  <w:num w:numId="16" w16cid:durableId="186917255">
    <w:abstractNumId w:val="17"/>
  </w:num>
  <w:num w:numId="17" w16cid:durableId="1117021369">
    <w:abstractNumId w:val="11"/>
  </w:num>
  <w:num w:numId="18" w16cid:durableId="1919709960">
    <w:abstractNumId w:val="18"/>
  </w:num>
  <w:num w:numId="19" w16cid:durableId="1856529929">
    <w:abstractNumId w:val="9"/>
  </w:num>
  <w:num w:numId="20" w16cid:durableId="338970179">
    <w:abstractNumId w:val="11"/>
  </w:num>
  <w:num w:numId="21" w16cid:durableId="149910060">
    <w:abstractNumId w:val="23"/>
  </w:num>
  <w:num w:numId="22" w16cid:durableId="1580216625">
    <w:abstractNumId w:val="2"/>
  </w:num>
  <w:num w:numId="23" w16cid:durableId="2066294383">
    <w:abstractNumId w:val="11"/>
  </w:num>
  <w:num w:numId="24" w16cid:durableId="2074766914">
    <w:abstractNumId w:val="10"/>
  </w:num>
  <w:num w:numId="25" w16cid:durableId="337542500">
    <w:abstractNumId w:val="11"/>
  </w:num>
  <w:num w:numId="26" w16cid:durableId="995646822">
    <w:abstractNumId w:val="4"/>
  </w:num>
  <w:num w:numId="27" w16cid:durableId="1048408483">
    <w:abstractNumId w:val="19"/>
  </w:num>
  <w:num w:numId="28" w16cid:durableId="1416441731">
    <w:abstractNumId w:val="22"/>
  </w:num>
  <w:num w:numId="29" w16cid:durableId="103588946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12"/>
    <w:rsid w:val="00002394"/>
    <w:rsid w:val="00002EE0"/>
    <w:rsid w:val="000033BA"/>
    <w:rsid w:val="00005F66"/>
    <w:rsid w:val="000076A5"/>
    <w:rsid w:val="00010C2D"/>
    <w:rsid w:val="000121CB"/>
    <w:rsid w:val="00013021"/>
    <w:rsid w:val="00013BAE"/>
    <w:rsid w:val="00013F88"/>
    <w:rsid w:val="0001467F"/>
    <w:rsid w:val="000223AD"/>
    <w:rsid w:val="00023473"/>
    <w:rsid w:val="000248C9"/>
    <w:rsid w:val="00026348"/>
    <w:rsid w:val="00031309"/>
    <w:rsid w:val="00032CAB"/>
    <w:rsid w:val="00033943"/>
    <w:rsid w:val="000358C0"/>
    <w:rsid w:val="00036BA9"/>
    <w:rsid w:val="000447B1"/>
    <w:rsid w:val="000448A2"/>
    <w:rsid w:val="0004538F"/>
    <w:rsid w:val="00045446"/>
    <w:rsid w:val="0004701D"/>
    <w:rsid w:val="00047B7D"/>
    <w:rsid w:val="00051C8B"/>
    <w:rsid w:val="00052680"/>
    <w:rsid w:val="00055C1D"/>
    <w:rsid w:val="00060398"/>
    <w:rsid w:val="0006277F"/>
    <w:rsid w:val="00065000"/>
    <w:rsid w:val="0007251A"/>
    <w:rsid w:val="00076728"/>
    <w:rsid w:val="00080A47"/>
    <w:rsid w:val="00081C24"/>
    <w:rsid w:val="0008233E"/>
    <w:rsid w:val="000866F2"/>
    <w:rsid w:val="000913C1"/>
    <w:rsid w:val="000958B2"/>
    <w:rsid w:val="000972A2"/>
    <w:rsid w:val="000A42FF"/>
    <w:rsid w:val="000A4FB0"/>
    <w:rsid w:val="000A7D00"/>
    <w:rsid w:val="000A7E64"/>
    <w:rsid w:val="000B0D19"/>
    <w:rsid w:val="000B60DF"/>
    <w:rsid w:val="000C0D31"/>
    <w:rsid w:val="000C1202"/>
    <w:rsid w:val="000D4B39"/>
    <w:rsid w:val="000D7244"/>
    <w:rsid w:val="000E0CDC"/>
    <w:rsid w:val="000E0D23"/>
    <w:rsid w:val="000E7D34"/>
    <w:rsid w:val="000F6DB1"/>
    <w:rsid w:val="00100CEF"/>
    <w:rsid w:val="00102AA9"/>
    <w:rsid w:val="001075D1"/>
    <w:rsid w:val="0011497A"/>
    <w:rsid w:val="00116F8D"/>
    <w:rsid w:val="00117852"/>
    <w:rsid w:val="00120DAA"/>
    <w:rsid w:val="00122B71"/>
    <w:rsid w:val="001276CE"/>
    <w:rsid w:val="00134B08"/>
    <w:rsid w:val="00142395"/>
    <w:rsid w:val="001423FD"/>
    <w:rsid w:val="00142A32"/>
    <w:rsid w:val="001570A4"/>
    <w:rsid w:val="00162668"/>
    <w:rsid w:val="00164336"/>
    <w:rsid w:val="0018174A"/>
    <w:rsid w:val="00191E01"/>
    <w:rsid w:val="0019448C"/>
    <w:rsid w:val="001B2646"/>
    <w:rsid w:val="001B2C8D"/>
    <w:rsid w:val="001C10FB"/>
    <w:rsid w:val="001C18E0"/>
    <w:rsid w:val="001C1B16"/>
    <w:rsid w:val="001C285B"/>
    <w:rsid w:val="001C3A7D"/>
    <w:rsid w:val="001C7552"/>
    <w:rsid w:val="001C7A4B"/>
    <w:rsid w:val="001C7F2B"/>
    <w:rsid w:val="001D283F"/>
    <w:rsid w:val="001D46D7"/>
    <w:rsid w:val="001D579D"/>
    <w:rsid w:val="00200E45"/>
    <w:rsid w:val="00202469"/>
    <w:rsid w:val="00211F7C"/>
    <w:rsid w:val="00212B92"/>
    <w:rsid w:val="00214471"/>
    <w:rsid w:val="00214C63"/>
    <w:rsid w:val="00217EF8"/>
    <w:rsid w:val="002250FF"/>
    <w:rsid w:val="00252D9B"/>
    <w:rsid w:val="00256AA0"/>
    <w:rsid w:val="0026128B"/>
    <w:rsid w:val="0026146E"/>
    <w:rsid w:val="00262520"/>
    <w:rsid w:val="00263E6E"/>
    <w:rsid w:val="002664F2"/>
    <w:rsid w:val="00270648"/>
    <w:rsid w:val="00271350"/>
    <w:rsid w:val="00275FD0"/>
    <w:rsid w:val="0027737E"/>
    <w:rsid w:val="0028302B"/>
    <w:rsid w:val="00286F15"/>
    <w:rsid w:val="002901F9"/>
    <w:rsid w:val="00292EBA"/>
    <w:rsid w:val="00294544"/>
    <w:rsid w:val="002A7AF5"/>
    <w:rsid w:val="002A7BCB"/>
    <w:rsid w:val="002B0EAC"/>
    <w:rsid w:val="002C442F"/>
    <w:rsid w:val="002C7F22"/>
    <w:rsid w:val="002D06BF"/>
    <w:rsid w:val="002D121A"/>
    <w:rsid w:val="002D1754"/>
    <w:rsid w:val="002D1ACF"/>
    <w:rsid w:val="002D22A6"/>
    <w:rsid w:val="002D2AB9"/>
    <w:rsid w:val="002D4E09"/>
    <w:rsid w:val="002D57A1"/>
    <w:rsid w:val="002D5E83"/>
    <w:rsid w:val="002E05AC"/>
    <w:rsid w:val="002E2489"/>
    <w:rsid w:val="002E5485"/>
    <w:rsid w:val="002F04D5"/>
    <w:rsid w:val="002F09BB"/>
    <w:rsid w:val="002F0F14"/>
    <w:rsid w:val="002F13A6"/>
    <w:rsid w:val="00305B7A"/>
    <w:rsid w:val="00313007"/>
    <w:rsid w:val="00314874"/>
    <w:rsid w:val="00323F73"/>
    <w:rsid w:val="003269B9"/>
    <w:rsid w:val="003300C9"/>
    <w:rsid w:val="00331695"/>
    <w:rsid w:val="00332E83"/>
    <w:rsid w:val="00333329"/>
    <w:rsid w:val="00334370"/>
    <w:rsid w:val="0033693F"/>
    <w:rsid w:val="00342DE5"/>
    <w:rsid w:val="003479B8"/>
    <w:rsid w:val="003549F3"/>
    <w:rsid w:val="00355836"/>
    <w:rsid w:val="00355DD0"/>
    <w:rsid w:val="00356587"/>
    <w:rsid w:val="00357579"/>
    <w:rsid w:val="00361354"/>
    <w:rsid w:val="00365959"/>
    <w:rsid w:val="00365D36"/>
    <w:rsid w:val="00372F24"/>
    <w:rsid w:val="003760CF"/>
    <w:rsid w:val="00376241"/>
    <w:rsid w:val="003779F4"/>
    <w:rsid w:val="00381CDF"/>
    <w:rsid w:val="003914D8"/>
    <w:rsid w:val="00394D07"/>
    <w:rsid w:val="00396E54"/>
    <w:rsid w:val="003971BB"/>
    <w:rsid w:val="003A0732"/>
    <w:rsid w:val="003A1953"/>
    <w:rsid w:val="003A42A1"/>
    <w:rsid w:val="003A55B9"/>
    <w:rsid w:val="003B7669"/>
    <w:rsid w:val="003BBDFE"/>
    <w:rsid w:val="003C0455"/>
    <w:rsid w:val="003C1FEA"/>
    <w:rsid w:val="003C35DE"/>
    <w:rsid w:val="003C7AFF"/>
    <w:rsid w:val="003D337D"/>
    <w:rsid w:val="003D372E"/>
    <w:rsid w:val="003E0CAA"/>
    <w:rsid w:val="003E7770"/>
    <w:rsid w:val="003F13D7"/>
    <w:rsid w:val="003F557A"/>
    <w:rsid w:val="003F58E9"/>
    <w:rsid w:val="003F70B2"/>
    <w:rsid w:val="0040124D"/>
    <w:rsid w:val="00403E34"/>
    <w:rsid w:val="0040651D"/>
    <w:rsid w:val="00407C36"/>
    <w:rsid w:val="00415943"/>
    <w:rsid w:val="00420999"/>
    <w:rsid w:val="00426C1B"/>
    <w:rsid w:val="004278E8"/>
    <w:rsid w:val="00431CD6"/>
    <w:rsid w:val="00441C42"/>
    <w:rsid w:val="004422C1"/>
    <w:rsid w:val="00442DD6"/>
    <w:rsid w:val="004517FB"/>
    <w:rsid w:val="0045247E"/>
    <w:rsid w:val="0045458A"/>
    <w:rsid w:val="00455E8C"/>
    <w:rsid w:val="00465E0B"/>
    <w:rsid w:val="004678F9"/>
    <w:rsid w:val="00467BAB"/>
    <w:rsid w:val="00475877"/>
    <w:rsid w:val="0047625B"/>
    <w:rsid w:val="00477197"/>
    <w:rsid w:val="004806A7"/>
    <w:rsid w:val="004811C3"/>
    <w:rsid w:val="00481C31"/>
    <w:rsid w:val="00482EA4"/>
    <w:rsid w:val="00497129"/>
    <w:rsid w:val="00497836"/>
    <w:rsid w:val="004B0B24"/>
    <w:rsid w:val="004B13E5"/>
    <w:rsid w:val="004B14E4"/>
    <w:rsid w:val="004B1F8F"/>
    <w:rsid w:val="004C2E8B"/>
    <w:rsid w:val="004C5F9D"/>
    <w:rsid w:val="004D135E"/>
    <w:rsid w:val="004D24A1"/>
    <w:rsid w:val="004D5953"/>
    <w:rsid w:val="004D5965"/>
    <w:rsid w:val="004D59AA"/>
    <w:rsid w:val="004E3A5A"/>
    <w:rsid w:val="004E4979"/>
    <w:rsid w:val="004EFA7A"/>
    <w:rsid w:val="004F0378"/>
    <w:rsid w:val="004F04AE"/>
    <w:rsid w:val="004F0F7D"/>
    <w:rsid w:val="004F6A8D"/>
    <w:rsid w:val="004F744B"/>
    <w:rsid w:val="005000C2"/>
    <w:rsid w:val="00507958"/>
    <w:rsid w:val="00511109"/>
    <w:rsid w:val="005115C0"/>
    <w:rsid w:val="0052265D"/>
    <w:rsid w:val="005226C3"/>
    <w:rsid w:val="00523451"/>
    <w:rsid w:val="00524C76"/>
    <w:rsid w:val="00525B0D"/>
    <w:rsid w:val="0052797D"/>
    <w:rsid w:val="00527C8B"/>
    <w:rsid w:val="00531373"/>
    <w:rsid w:val="005317F9"/>
    <w:rsid w:val="005321FD"/>
    <w:rsid w:val="00532873"/>
    <w:rsid w:val="00534181"/>
    <w:rsid w:val="0054214F"/>
    <w:rsid w:val="00550CC3"/>
    <w:rsid w:val="00557431"/>
    <w:rsid w:val="00557D99"/>
    <w:rsid w:val="00560FDD"/>
    <w:rsid w:val="00564256"/>
    <w:rsid w:val="00573C30"/>
    <w:rsid w:val="00574100"/>
    <w:rsid w:val="00575829"/>
    <w:rsid w:val="00594C17"/>
    <w:rsid w:val="00594E0D"/>
    <w:rsid w:val="005973BD"/>
    <w:rsid w:val="005A494A"/>
    <w:rsid w:val="005A56DC"/>
    <w:rsid w:val="005A60E4"/>
    <w:rsid w:val="005A7112"/>
    <w:rsid w:val="005B24D6"/>
    <w:rsid w:val="005B3AB1"/>
    <w:rsid w:val="005B3BC6"/>
    <w:rsid w:val="005C523B"/>
    <w:rsid w:val="005D4389"/>
    <w:rsid w:val="005D48C3"/>
    <w:rsid w:val="005D60E4"/>
    <w:rsid w:val="005E38B2"/>
    <w:rsid w:val="005E60BF"/>
    <w:rsid w:val="005F6C2C"/>
    <w:rsid w:val="005F7B2D"/>
    <w:rsid w:val="006023F0"/>
    <w:rsid w:val="006075F5"/>
    <w:rsid w:val="0061058C"/>
    <w:rsid w:val="0061313D"/>
    <w:rsid w:val="006154AC"/>
    <w:rsid w:val="00616809"/>
    <w:rsid w:val="00617432"/>
    <w:rsid w:val="006174FD"/>
    <w:rsid w:val="006179AD"/>
    <w:rsid w:val="00623A91"/>
    <w:rsid w:val="00631F92"/>
    <w:rsid w:val="00632457"/>
    <w:rsid w:val="00634FA4"/>
    <w:rsid w:val="006360AB"/>
    <w:rsid w:val="00643272"/>
    <w:rsid w:val="00645801"/>
    <w:rsid w:val="00653533"/>
    <w:rsid w:val="006601F1"/>
    <w:rsid w:val="00660623"/>
    <w:rsid w:val="00662BD2"/>
    <w:rsid w:val="00666F53"/>
    <w:rsid w:val="00671D2E"/>
    <w:rsid w:val="0067288B"/>
    <w:rsid w:val="0067774E"/>
    <w:rsid w:val="00677987"/>
    <w:rsid w:val="0068036B"/>
    <w:rsid w:val="00680CBF"/>
    <w:rsid w:val="00681164"/>
    <w:rsid w:val="00681E3C"/>
    <w:rsid w:val="00685BB9"/>
    <w:rsid w:val="006869E0"/>
    <w:rsid w:val="006905AA"/>
    <w:rsid w:val="006926F9"/>
    <w:rsid w:val="00692FA5"/>
    <w:rsid w:val="00697B37"/>
    <w:rsid w:val="006A221C"/>
    <w:rsid w:val="006A5ECC"/>
    <w:rsid w:val="006A6DCB"/>
    <w:rsid w:val="006B2F55"/>
    <w:rsid w:val="006B6D50"/>
    <w:rsid w:val="006B7EAF"/>
    <w:rsid w:val="006C082E"/>
    <w:rsid w:val="006C1A0B"/>
    <w:rsid w:val="006D0F4A"/>
    <w:rsid w:val="006D5110"/>
    <w:rsid w:val="006D6655"/>
    <w:rsid w:val="006E510B"/>
    <w:rsid w:val="006E65C2"/>
    <w:rsid w:val="006F323D"/>
    <w:rsid w:val="006F3944"/>
    <w:rsid w:val="006F426B"/>
    <w:rsid w:val="00705A06"/>
    <w:rsid w:val="00707908"/>
    <w:rsid w:val="00707A43"/>
    <w:rsid w:val="00707AA0"/>
    <w:rsid w:val="007228DE"/>
    <w:rsid w:val="00730B6E"/>
    <w:rsid w:val="0073757F"/>
    <w:rsid w:val="00746020"/>
    <w:rsid w:val="00755015"/>
    <w:rsid w:val="00767C04"/>
    <w:rsid w:val="00771B08"/>
    <w:rsid w:val="00773ABF"/>
    <w:rsid w:val="00775F47"/>
    <w:rsid w:val="00776B33"/>
    <w:rsid w:val="007776FE"/>
    <w:rsid w:val="00777D09"/>
    <w:rsid w:val="00780CEB"/>
    <w:rsid w:val="00781D6D"/>
    <w:rsid w:val="007846B1"/>
    <w:rsid w:val="00786830"/>
    <w:rsid w:val="00790731"/>
    <w:rsid w:val="00791497"/>
    <w:rsid w:val="007918DC"/>
    <w:rsid w:val="00791A94"/>
    <w:rsid w:val="00792CFC"/>
    <w:rsid w:val="007934C8"/>
    <w:rsid w:val="0079768B"/>
    <w:rsid w:val="007A0041"/>
    <w:rsid w:val="007A535B"/>
    <w:rsid w:val="007B3B06"/>
    <w:rsid w:val="007B49BF"/>
    <w:rsid w:val="007C01D6"/>
    <w:rsid w:val="007C2A0D"/>
    <w:rsid w:val="007C40CB"/>
    <w:rsid w:val="007C7F61"/>
    <w:rsid w:val="007D23B2"/>
    <w:rsid w:val="007D3DF6"/>
    <w:rsid w:val="007D4D4B"/>
    <w:rsid w:val="007F61E3"/>
    <w:rsid w:val="007F73DF"/>
    <w:rsid w:val="00803B84"/>
    <w:rsid w:val="00804048"/>
    <w:rsid w:val="00812731"/>
    <w:rsid w:val="00817A59"/>
    <w:rsid w:val="00817DAF"/>
    <w:rsid w:val="00820DC6"/>
    <w:rsid w:val="0082252C"/>
    <w:rsid w:val="00833320"/>
    <w:rsid w:val="00837A4F"/>
    <w:rsid w:val="00841027"/>
    <w:rsid w:val="0084213E"/>
    <w:rsid w:val="00843269"/>
    <w:rsid w:val="00844292"/>
    <w:rsid w:val="00857CEE"/>
    <w:rsid w:val="00873BB8"/>
    <w:rsid w:val="0087406A"/>
    <w:rsid w:val="008767EA"/>
    <w:rsid w:val="008772F3"/>
    <w:rsid w:val="008833E0"/>
    <w:rsid w:val="008913C6"/>
    <w:rsid w:val="00896D14"/>
    <w:rsid w:val="0089760F"/>
    <w:rsid w:val="008A1695"/>
    <w:rsid w:val="008A4043"/>
    <w:rsid w:val="008A578B"/>
    <w:rsid w:val="008A5EF0"/>
    <w:rsid w:val="008A7A0F"/>
    <w:rsid w:val="008B1B99"/>
    <w:rsid w:val="008B49A4"/>
    <w:rsid w:val="008B7944"/>
    <w:rsid w:val="008C11BB"/>
    <w:rsid w:val="008C24D8"/>
    <w:rsid w:val="008C2F7B"/>
    <w:rsid w:val="008C561D"/>
    <w:rsid w:val="008C7412"/>
    <w:rsid w:val="008D4AC6"/>
    <w:rsid w:val="008E1DE7"/>
    <w:rsid w:val="008E261E"/>
    <w:rsid w:val="008E336B"/>
    <w:rsid w:val="008F450A"/>
    <w:rsid w:val="00906E22"/>
    <w:rsid w:val="009079C3"/>
    <w:rsid w:val="00912AC3"/>
    <w:rsid w:val="00913A8D"/>
    <w:rsid w:val="009149EB"/>
    <w:rsid w:val="0091C012"/>
    <w:rsid w:val="009202D7"/>
    <w:rsid w:val="00921177"/>
    <w:rsid w:val="00921D21"/>
    <w:rsid w:val="00923B53"/>
    <w:rsid w:val="00933196"/>
    <w:rsid w:val="00934260"/>
    <w:rsid w:val="00943FCF"/>
    <w:rsid w:val="0095089D"/>
    <w:rsid w:val="009524E0"/>
    <w:rsid w:val="00953128"/>
    <w:rsid w:val="009579A3"/>
    <w:rsid w:val="00957C2B"/>
    <w:rsid w:val="00960573"/>
    <w:rsid w:val="00960E90"/>
    <w:rsid w:val="009619BF"/>
    <w:rsid w:val="00966DEB"/>
    <w:rsid w:val="009675E5"/>
    <w:rsid w:val="00975380"/>
    <w:rsid w:val="00975736"/>
    <w:rsid w:val="009819D0"/>
    <w:rsid w:val="00981FA3"/>
    <w:rsid w:val="00987F22"/>
    <w:rsid w:val="00991E87"/>
    <w:rsid w:val="009942BC"/>
    <w:rsid w:val="009A6210"/>
    <w:rsid w:val="009B1133"/>
    <w:rsid w:val="009B5773"/>
    <w:rsid w:val="009B63C7"/>
    <w:rsid w:val="009C67A9"/>
    <w:rsid w:val="009D242A"/>
    <w:rsid w:val="009D3767"/>
    <w:rsid w:val="009D3C9F"/>
    <w:rsid w:val="009D53F4"/>
    <w:rsid w:val="009D59AF"/>
    <w:rsid w:val="009E0986"/>
    <w:rsid w:val="009E3E87"/>
    <w:rsid w:val="009E7402"/>
    <w:rsid w:val="009F718F"/>
    <w:rsid w:val="00A0251B"/>
    <w:rsid w:val="00A12AED"/>
    <w:rsid w:val="00A137E1"/>
    <w:rsid w:val="00A1502B"/>
    <w:rsid w:val="00A220AE"/>
    <w:rsid w:val="00A26D68"/>
    <w:rsid w:val="00A27643"/>
    <w:rsid w:val="00A27CFA"/>
    <w:rsid w:val="00A30958"/>
    <w:rsid w:val="00A31582"/>
    <w:rsid w:val="00A3569E"/>
    <w:rsid w:val="00A358EE"/>
    <w:rsid w:val="00A369A6"/>
    <w:rsid w:val="00A37D18"/>
    <w:rsid w:val="00A52693"/>
    <w:rsid w:val="00A54A5E"/>
    <w:rsid w:val="00A5719E"/>
    <w:rsid w:val="00A6460D"/>
    <w:rsid w:val="00A66234"/>
    <w:rsid w:val="00A66242"/>
    <w:rsid w:val="00A7075A"/>
    <w:rsid w:val="00A70FCE"/>
    <w:rsid w:val="00A74B61"/>
    <w:rsid w:val="00A76122"/>
    <w:rsid w:val="00A77505"/>
    <w:rsid w:val="00A823C3"/>
    <w:rsid w:val="00A83E5B"/>
    <w:rsid w:val="00AA7881"/>
    <w:rsid w:val="00AA78D0"/>
    <w:rsid w:val="00AB3C67"/>
    <w:rsid w:val="00AC2D9F"/>
    <w:rsid w:val="00AD2570"/>
    <w:rsid w:val="00AE0DF5"/>
    <w:rsid w:val="00AE4C11"/>
    <w:rsid w:val="00AE6F2C"/>
    <w:rsid w:val="00AF13FC"/>
    <w:rsid w:val="00B01452"/>
    <w:rsid w:val="00B03E31"/>
    <w:rsid w:val="00B05938"/>
    <w:rsid w:val="00B0707F"/>
    <w:rsid w:val="00B11676"/>
    <w:rsid w:val="00B20C64"/>
    <w:rsid w:val="00B20CE6"/>
    <w:rsid w:val="00B3320B"/>
    <w:rsid w:val="00B34D18"/>
    <w:rsid w:val="00B3570A"/>
    <w:rsid w:val="00B41D48"/>
    <w:rsid w:val="00B43532"/>
    <w:rsid w:val="00B45BCC"/>
    <w:rsid w:val="00B51D3C"/>
    <w:rsid w:val="00B5388C"/>
    <w:rsid w:val="00B54313"/>
    <w:rsid w:val="00B55633"/>
    <w:rsid w:val="00B63AD0"/>
    <w:rsid w:val="00B64924"/>
    <w:rsid w:val="00B67863"/>
    <w:rsid w:val="00B70AE7"/>
    <w:rsid w:val="00B765EA"/>
    <w:rsid w:val="00B81929"/>
    <w:rsid w:val="00B83912"/>
    <w:rsid w:val="00B85B2B"/>
    <w:rsid w:val="00B91612"/>
    <w:rsid w:val="00B92543"/>
    <w:rsid w:val="00B926F4"/>
    <w:rsid w:val="00B9435C"/>
    <w:rsid w:val="00B94F46"/>
    <w:rsid w:val="00B96F49"/>
    <w:rsid w:val="00BA0FD9"/>
    <w:rsid w:val="00BB17ED"/>
    <w:rsid w:val="00BB1AF8"/>
    <w:rsid w:val="00BB1CA5"/>
    <w:rsid w:val="00BC032E"/>
    <w:rsid w:val="00BC033D"/>
    <w:rsid w:val="00BC55FB"/>
    <w:rsid w:val="00BD626D"/>
    <w:rsid w:val="00BE0234"/>
    <w:rsid w:val="00BE300A"/>
    <w:rsid w:val="00BE499E"/>
    <w:rsid w:val="00BE4C32"/>
    <w:rsid w:val="00BF3A26"/>
    <w:rsid w:val="00BF3FBF"/>
    <w:rsid w:val="00BF56C3"/>
    <w:rsid w:val="00C1016F"/>
    <w:rsid w:val="00C10A2A"/>
    <w:rsid w:val="00C141AB"/>
    <w:rsid w:val="00C14859"/>
    <w:rsid w:val="00C14FFF"/>
    <w:rsid w:val="00C17794"/>
    <w:rsid w:val="00C2565E"/>
    <w:rsid w:val="00C340E7"/>
    <w:rsid w:val="00C52724"/>
    <w:rsid w:val="00C62A20"/>
    <w:rsid w:val="00C639B5"/>
    <w:rsid w:val="00C71623"/>
    <w:rsid w:val="00C72038"/>
    <w:rsid w:val="00C72F8D"/>
    <w:rsid w:val="00C8192D"/>
    <w:rsid w:val="00C87B07"/>
    <w:rsid w:val="00C901B8"/>
    <w:rsid w:val="00C90EA0"/>
    <w:rsid w:val="00C9335E"/>
    <w:rsid w:val="00CA0796"/>
    <w:rsid w:val="00CA23BF"/>
    <w:rsid w:val="00CA57D8"/>
    <w:rsid w:val="00CA7AF0"/>
    <w:rsid w:val="00CB20C2"/>
    <w:rsid w:val="00CB24FC"/>
    <w:rsid w:val="00CB2C4E"/>
    <w:rsid w:val="00CD18E6"/>
    <w:rsid w:val="00CE30D2"/>
    <w:rsid w:val="00CE475D"/>
    <w:rsid w:val="00CF17F4"/>
    <w:rsid w:val="00CF3A52"/>
    <w:rsid w:val="00CF79E1"/>
    <w:rsid w:val="00D0619F"/>
    <w:rsid w:val="00D07799"/>
    <w:rsid w:val="00D10537"/>
    <w:rsid w:val="00D11B4B"/>
    <w:rsid w:val="00D13989"/>
    <w:rsid w:val="00D1513D"/>
    <w:rsid w:val="00D219EF"/>
    <w:rsid w:val="00D27151"/>
    <w:rsid w:val="00D30E73"/>
    <w:rsid w:val="00D317BD"/>
    <w:rsid w:val="00D34CFE"/>
    <w:rsid w:val="00D34D21"/>
    <w:rsid w:val="00D35501"/>
    <w:rsid w:val="00D366B6"/>
    <w:rsid w:val="00D400FE"/>
    <w:rsid w:val="00D43A27"/>
    <w:rsid w:val="00D44BED"/>
    <w:rsid w:val="00D579CC"/>
    <w:rsid w:val="00D57F74"/>
    <w:rsid w:val="00D66540"/>
    <w:rsid w:val="00D72F89"/>
    <w:rsid w:val="00D74D1A"/>
    <w:rsid w:val="00D76C8B"/>
    <w:rsid w:val="00D820FF"/>
    <w:rsid w:val="00D82E3C"/>
    <w:rsid w:val="00D82E6F"/>
    <w:rsid w:val="00D82EC6"/>
    <w:rsid w:val="00D870ED"/>
    <w:rsid w:val="00D90E07"/>
    <w:rsid w:val="00D9175B"/>
    <w:rsid w:val="00DA0EAB"/>
    <w:rsid w:val="00DB3759"/>
    <w:rsid w:val="00DB7D2C"/>
    <w:rsid w:val="00DC07E8"/>
    <w:rsid w:val="00DC0EA7"/>
    <w:rsid w:val="00DC2EB3"/>
    <w:rsid w:val="00DC3A6C"/>
    <w:rsid w:val="00DC5EED"/>
    <w:rsid w:val="00DD249C"/>
    <w:rsid w:val="00DD3098"/>
    <w:rsid w:val="00DD6A18"/>
    <w:rsid w:val="00DE7650"/>
    <w:rsid w:val="00DF0B1F"/>
    <w:rsid w:val="00DF0B76"/>
    <w:rsid w:val="00DF0B81"/>
    <w:rsid w:val="00E06D54"/>
    <w:rsid w:val="00E16BA1"/>
    <w:rsid w:val="00E23AD5"/>
    <w:rsid w:val="00E324E5"/>
    <w:rsid w:val="00E3313C"/>
    <w:rsid w:val="00E343DA"/>
    <w:rsid w:val="00E4472C"/>
    <w:rsid w:val="00E4527A"/>
    <w:rsid w:val="00E45902"/>
    <w:rsid w:val="00E463AF"/>
    <w:rsid w:val="00E464C0"/>
    <w:rsid w:val="00E51F0A"/>
    <w:rsid w:val="00E55B44"/>
    <w:rsid w:val="00E605C4"/>
    <w:rsid w:val="00E61690"/>
    <w:rsid w:val="00E61796"/>
    <w:rsid w:val="00E626F2"/>
    <w:rsid w:val="00E63222"/>
    <w:rsid w:val="00E73C9F"/>
    <w:rsid w:val="00E82357"/>
    <w:rsid w:val="00E83D38"/>
    <w:rsid w:val="00E85789"/>
    <w:rsid w:val="00E9142C"/>
    <w:rsid w:val="00E970C8"/>
    <w:rsid w:val="00EA3A62"/>
    <w:rsid w:val="00EA5215"/>
    <w:rsid w:val="00EA5444"/>
    <w:rsid w:val="00EA7F60"/>
    <w:rsid w:val="00EA9187"/>
    <w:rsid w:val="00EB03D0"/>
    <w:rsid w:val="00EB739D"/>
    <w:rsid w:val="00EC2EAE"/>
    <w:rsid w:val="00EC5549"/>
    <w:rsid w:val="00EC57EF"/>
    <w:rsid w:val="00ED0EA2"/>
    <w:rsid w:val="00EE1DCF"/>
    <w:rsid w:val="00EE5B2B"/>
    <w:rsid w:val="00EE5DA7"/>
    <w:rsid w:val="00EE7644"/>
    <w:rsid w:val="00EF1EFE"/>
    <w:rsid w:val="00EF263C"/>
    <w:rsid w:val="00EF640D"/>
    <w:rsid w:val="00EF66C6"/>
    <w:rsid w:val="00F03082"/>
    <w:rsid w:val="00F0634D"/>
    <w:rsid w:val="00F07E3E"/>
    <w:rsid w:val="00F1657A"/>
    <w:rsid w:val="00F16DA4"/>
    <w:rsid w:val="00F17A94"/>
    <w:rsid w:val="00F17BC0"/>
    <w:rsid w:val="00F245BC"/>
    <w:rsid w:val="00F27F41"/>
    <w:rsid w:val="00F30438"/>
    <w:rsid w:val="00F315AC"/>
    <w:rsid w:val="00F41CE7"/>
    <w:rsid w:val="00F50FE1"/>
    <w:rsid w:val="00F53A08"/>
    <w:rsid w:val="00F53E4B"/>
    <w:rsid w:val="00F54760"/>
    <w:rsid w:val="00F6036C"/>
    <w:rsid w:val="00F74908"/>
    <w:rsid w:val="00F80242"/>
    <w:rsid w:val="00F80AA4"/>
    <w:rsid w:val="00F816EB"/>
    <w:rsid w:val="00F81D07"/>
    <w:rsid w:val="00F843E4"/>
    <w:rsid w:val="00F87B1C"/>
    <w:rsid w:val="00F9106F"/>
    <w:rsid w:val="00F93648"/>
    <w:rsid w:val="00F97C0B"/>
    <w:rsid w:val="00FA4B2E"/>
    <w:rsid w:val="00FA7E8D"/>
    <w:rsid w:val="00FC2D7F"/>
    <w:rsid w:val="00FC3F85"/>
    <w:rsid w:val="00FD54C1"/>
    <w:rsid w:val="00FE04EB"/>
    <w:rsid w:val="00FE1E93"/>
    <w:rsid w:val="00FF1139"/>
    <w:rsid w:val="00FF12C9"/>
    <w:rsid w:val="00FF45D9"/>
    <w:rsid w:val="01CA143C"/>
    <w:rsid w:val="01D3AA78"/>
    <w:rsid w:val="021C26CF"/>
    <w:rsid w:val="024229F3"/>
    <w:rsid w:val="031C3F8E"/>
    <w:rsid w:val="033B690F"/>
    <w:rsid w:val="03694381"/>
    <w:rsid w:val="036E14E7"/>
    <w:rsid w:val="039E0031"/>
    <w:rsid w:val="04152467"/>
    <w:rsid w:val="041FE22C"/>
    <w:rsid w:val="04577C3F"/>
    <w:rsid w:val="04D6FF23"/>
    <w:rsid w:val="04D8AB73"/>
    <w:rsid w:val="05AE66E2"/>
    <w:rsid w:val="06049A4A"/>
    <w:rsid w:val="06BF12B3"/>
    <w:rsid w:val="06DF2748"/>
    <w:rsid w:val="071A06CD"/>
    <w:rsid w:val="074B9728"/>
    <w:rsid w:val="076A87AF"/>
    <w:rsid w:val="077BBFE4"/>
    <w:rsid w:val="07A47D83"/>
    <w:rsid w:val="07B68A80"/>
    <w:rsid w:val="07C8A559"/>
    <w:rsid w:val="0809B77D"/>
    <w:rsid w:val="08198F4E"/>
    <w:rsid w:val="085A134C"/>
    <w:rsid w:val="08B4FE66"/>
    <w:rsid w:val="08CAB3FA"/>
    <w:rsid w:val="08D3ED0F"/>
    <w:rsid w:val="091D5D8D"/>
    <w:rsid w:val="098D7407"/>
    <w:rsid w:val="0A795B99"/>
    <w:rsid w:val="0B7E2A3E"/>
    <w:rsid w:val="0B806212"/>
    <w:rsid w:val="0B847EB2"/>
    <w:rsid w:val="0C385781"/>
    <w:rsid w:val="0DFFF424"/>
    <w:rsid w:val="0E229B96"/>
    <w:rsid w:val="0E2BCD34"/>
    <w:rsid w:val="0EFBA1E2"/>
    <w:rsid w:val="0F612B4D"/>
    <w:rsid w:val="101DC37E"/>
    <w:rsid w:val="105532A3"/>
    <w:rsid w:val="107D8182"/>
    <w:rsid w:val="10AD0DD1"/>
    <w:rsid w:val="10B9C1F1"/>
    <w:rsid w:val="10B9F5D6"/>
    <w:rsid w:val="10F1A8CD"/>
    <w:rsid w:val="11B7DA79"/>
    <w:rsid w:val="124A3F53"/>
    <w:rsid w:val="12565F63"/>
    <w:rsid w:val="131FAF45"/>
    <w:rsid w:val="13B6179A"/>
    <w:rsid w:val="13CCE4C1"/>
    <w:rsid w:val="14174837"/>
    <w:rsid w:val="147E0588"/>
    <w:rsid w:val="14AF31D4"/>
    <w:rsid w:val="14E5A0B8"/>
    <w:rsid w:val="14F991B8"/>
    <w:rsid w:val="15557227"/>
    <w:rsid w:val="159E5297"/>
    <w:rsid w:val="1676DD87"/>
    <w:rsid w:val="16C6307B"/>
    <w:rsid w:val="17EDA69D"/>
    <w:rsid w:val="185524D7"/>
    <w:rsid w:val="1878D9C8"/>
    <w:rsid w:val="187C8CE5"/>
    <w:rsid w:val="189B7C6B"/>
    <w:rsid w:val="18BD953E"/>
    <w:rsid w:val="18C1DDFC"/>
    <w:rsid w:val="19239277"/>
    <w:rsid w:val="1925EF15"/>
    <w:rsid w:val="19423EDE"/>
    <w:rsid w:val="19EA5F98"/>
    <w:rsid w:val="1A0F4E03"/>
    <w:rsid w:val="1A790816"/>
    <w:rsid w:val="1AA6153B"/>
    <w:rsid w:val="1AAB653B"/>
    <w:rsid w:val="1ACC2B2F"/>
    <w:rsid w:val="1AF58F61"/>
    <w:rsid w:val="1AF6D900"/>
    <w:rsid w:val="1B2C945E"/>
    <w:rsid w:val="1B375365"/>
    <w:rsid w:val="1B845C7E"/>
    <w:rsid w:val="1BC79A38"/>
    <w:rsid w:val="1BCA0DB0"/>
    <w:rsid w:val="1D0E1052"/>
    <w:rsid w:val="1E41B2D0"/>
    <w:rsid w:val="1E89B6BC"/>
    <w:rsid w:val="1EEBFFFB"/>
    <w:rsid w:val="1F8344B1"/>
    <w:rsid w:val="20082770"/>
    <w:rsid w:val="202E70D2"/>
    <w:rsid w:val="20BCC7DD"/>
    <w:rsid w:val="20E0C4D3"/>
    <w:rsid w:val="20E8F690"/>
    <w:rsid w:val="21135F46"/>
    <w:rsid w:val="216A2212"/>
    <w:rsid w:val="21966D0D"/>
    <w:rsid w:val="220EDB5E"/>
    <w:rsid w:val="2254191C"/>
    <w:rsid w:val="2290C145"/>
    <w:rsid w:val="22EEFFE3"/>
    <w:rsid w:val="22F1E8D8"/>
    <w:rsid w:val="22FF419F"/>
    <w:rsid w:val="2309AAEE"/>
    <w:rsid w:val="2317AAC1"/>
    <w:rsid w:val="231CD8DF"/>
    <w:rsid w:val="23524D4D"/>
    <w:rsid w:val="23CDD010"/>
    <w:rsid w:val="2403206B"/>
    <w:rsid w:val="24502E0A"/>
    <w:rsid w:val="24A0008C"/>
    <w:rsid w:val="24BD4B62"/>
    <w:rsid w:val="24C0D1DA"/>
    <w:rsid w:val="24EC14DD"/>
    <w:rsid w:val="25D3D95D"/>
    <w:rsid w:val="26173644"/>
    <w:rsid w:val="265CCC62"/>
    <w:rsid w:val="266C72E1"/>
    <w:rsid w:val="268EE8F8"/>
    <w:rsid w:val="26ED490F"/>
    <w:rsid w:val="270F7608"/>
    <w:rsid w:val="279F9947"/>
    <w:rsid w:val="27A0C500"/>
    <w:rsid w:val="27EE39B1"/>
    <w:rsid w:val="28317E51"/>
    <w:rsid w:val="28F1048C"/>
    <w:rsid w:val="29216AAC"/>
    <w:rsid w:val="29250199"/>
    <w:rsid w:val="292E47E8"/>
    <w:rsid w:val="295160C2"/>
    <w:rsid w:val="297C2C1D"/>
    <w:rsid w:val="299FB554"/>
    <w:rsid w:val="299FD45E"/>
    <w:rsid w:val="2A0B80CE"/>
    <w:rsid w:val="2A1B622A"/>
    <w:rsid w:val="2A75501D"/>
    <w:rsid w:val="2A8B8B09"/>
    <w:rsid w:val="2A9DEC06"/>
    <w:rsid w:val="2AF714BD"/>
    <w:rsid w:val="2B06CD53"/>
    <w:rsid w:val="2BB21AA8"/>
    <w:rsid w:val="2BD6DA3A"/>
    <w:rsid w:val="2BF333C6"/>
    <w:rsid w:val="2BFEC222"/>
    <w:rsid w:val="2CB4BCB5"/>
    <w:rsid w:val="2CCA228B"/>
    <w:rsid w:val="2CDA58CF"/>
    <w:rsid w:val="2D55B227"/>
    <w:rsid w:val="2D81D959"/>
    <w:rsid w:val="2D898F38"/>
    <w:rsid w:val="2E11A691"/>
    <w:rsid w:val="2E7ECF87"/>
    <w:rsid w:val="2E97F262"/>
    <w:rsid w:val="2ED2B2A5"/>
    <w:rsid w:val="2EFD7F71"/>
    <w:rsid w:val="2F66C1BC"/>
    <w:rsid w:val="2F82EE5A"/>
    <w:rsid w:val="2FC8371E"/>
    <w:rsid w:val="2FE7C721"/>
    <w:rsid w:val="2FFC461D"/>
    <w:rsid w:val="300D175C"/>
    <w:rsid w:val="3019C5D8"/>
    <w:rsid w:val="3024D28D"/>
    <w:rsid w:val="307B63A0"/>
    <w:rsid w:val="309A924D"/>
    <w:rsid w:val="314AD8B8"/>
    <w:rsid w:val="3200EA07"/>
    <w:rsid w:val="321E0050"/>
    <w:rsid w:val="32676DAD"/>
    <w:rsid w:val="328C49EB"/>
    <w:rsid w:val="32D38746"/>
    <w:rsid w:val="331AA882"/>
    <w:rsid w:val="34E8C1C1"/>
    <w:rsid w:val="3531FF2E"/>
    <w:rsid w:val="35778E17"/>
    <w:rsid w:val="35B6644C"/>
    <w:rsid w:val="368303B9"/>
    <w:rsid w:val="377CC7AC"/>
    <w:rsid w:val="38BD4BD0"/>
    <w:rsid w:val="39260683"/>
    <w:rsid w:val="3B4BA957"/>
    <w:rsid w:val="3BE43B26"/>
    <w:rsid w:val="3C399885"/>
    <w:rsid w:val="3C9C8E87"/>
    <w:rsid w:val="3CC408BF"/>
    <w:rsid w:val="3D479D33"/>
    <w:rsid w:val="3D6BA61F"/>
    <w:rsid w:val="3DCF1E73"/>
    <w:rsid w:val="3EB2CA19"/>
    <w:rsid w:val="3EEC60F3"/>
    <w:rsid w:val="3F1471AF"/>
    <w:rsid w:val="3F2D20F1"/>
    <w:rsid w:val="3F540303"/>
    <w:rsid w:val="3F6C2DA1"/>
    <w:rsid w:val="3F8F7684"/>
    <w:rsid w:val="4035A907"/>
    <w:rsid w:val="40C183AF"/>
    <w:rsid w:val="41627B8D"/>
    <w:rsid w:val="418A2FBA"/>
    <w:rsid w:val="41D24A70"/>
    <w:rsid w:val="4276745D"/>
    <w:rsid w:val="42E27075"/>
    <w:rsid w:val="436D3B8A"/>
    <w:rsid w:val="43A984A2"/>
    <w:rsid w:val="43B1AAC8"/>
    <w:rsid w:val="43BB9EB2"/>
    <w:rsid w:val="4417892E"/>
    <w:rsid w:val="4466324A"/>
    <w:rsid w:val="4484006F"/>
    <w:rsid w:val="4491D0F7"/>
    <w:rsid w:val="450D364C"/>
    <w:rsid w:val="454A5331"/>
    <w:rsid w:val="45539320"/>
    <w:rsid w:val="459C6CD0"/>
    <w:rsid w:val="45CDDB7D"/>
    <w:rsid w:val="469109AC"/>
    <w:rsid w:val="474B1DF2"/>
    <w:rsid w:val="479F1867"/>
    <w:rsid w:val="47A36EDF"/>
    <w:rsid w:val="47CAE294"/>
    <w:rsid w:val="483E9453"/>
    <w:rsid w:val="4857A54D"/>
    <w:rsid w:val="491F701C"/>
    <w:rsid w:val="4940E697"/>
    <w:rsid w:val="4A0D2C63"/>
    <w:rsid w:val="4A7526F2"/>
    <w:rsid w:val="4B009C35"/>
    <w:rsid w:val="4B316A8D"/>
    <w:rsid w:val="4B622D31"/>
    <w:rsid w:val="4B80BC8A"/>
    <w:rsid w:val="4B98BB41"/>
    <w:rsid w:val="4B9B5B3B"/>
    <w:rsid w:val="4BD6A618"/>
    <w:rsid w:val="4C0911D5"/>
    <w:rsid w:val="4C64A02D"/>
    <w:rsid w:val="4D6FA0BE"/>
    <w:rsid w:val="4D75DC9E"/>
    <w:rsid w:val="4E486209"/>
    <w:rsid w:val="4ECB1D6A"/>
    <w:rsid w:val="4FD390DE"/>
    <w:rsid w:val="50197F43"/>
    <w:rsid w:val="51AACEEE"/>
    <w:rsid w:val="5233F0FB"/>
    <w:rsid w:val="5296258C"/>
    <w:rsid w:val="52F8D8D8"/>
    <w:rsid w:val="531648BE"/>
    <w:rsid w:val="53BE4768"/>
    <w:rsid w:val="53FD7A71"/>
    <w:rsid w:val="550304C0"/>
    <w:rsid w:val="55D71096"/>
    <w:rsid w:val="561FE8FA"/>
    <w:rsid w:val="562BB10F"/>
    <w:rsid w:val="56B3EDA8"/>
    <w:rsid w:val="56D29285"/>
    <w:rsid w:val="56F9A12C"/>
    <w:rsid w:val="58DC2D61"/>
    <w:rsid w:val="59A7507E"/>
    <w:rsid w:val="59CC1EA4"/>
    <w:rsid w:val="5A7D439B"/>
    <w:rsid w:val="5B611858"/>
    <w:rsid w:val="5B9B2933"/>
    <w:rsid w:val="5BE260C2"/>
    <w:rsid w:val="5C535A42"/>
    <w:rsid w:val="5CB2DC0A"/>
    <w:rsid w:val="5CB67ACD"/>
    <w:rsid w:val="5D2AAC97"/>
    <w:rsid w:val="5D2B3BBF"/>
    <w:rsid w:val="5D974F29"/>
    <w:rsid w:val="5E0985A7"/>
    <w:rsid w:val="5E299452"/>
    <w:rsid w:val="5E4C1E99"/>
    <w:rsid w:val="5EA699DB"/>
    <w:rsid w:val="5FB340EA"/>
    <w:rsid w:val="6021A490"/>
    <w:rsid w:val="60679102"/>
    <w:rsid w:val="60912E41"/>
    <w:rsid w:val="60CD5B16"/>
    <w:rsid w:val="62B4B91F"/>
    <w:rsid w:val="62C1791B"/>
    <w:rsid w:val="62DDB1E4"/>
    <w:rsid w:val="631EC382"/>
    <w:rsid w:val="63346436"/>
    <w:rsid w:val="635469DC"/>
    <w:rsid w:val="63B2F18C"/>
    <w:rsid w:val="63B4EBA7"/>
    <w:rsid w:val="63F3CD7B"/>
    <w:rsid w:val="6448C732"/>
    <w:rsid w:val="64C06183"/>
    <w:rsid w:val="64D2DB76"/>
    <w:rsid w:val="655941B7"/>
    <w:rsid w:val="658212DF"/>
    <w:rsid w:val="65A66860"/>
    <w:rsid w:val="65B21576"/>
    <w:rsid w:val="65E104B7"/>
    <w:rsid w:val="661CD4E4"/>
    <w:rsid w:val="66402D9F"/>
    <w:rsid w:val="6672DAD6"/>
    <w:rsid w:val="66B77570"/>
    <w:rsid w:val="66CE3EBB"/>
    <w:rsid w:val="66DFF590"/>
    <w:rsid w:val="681DA3D4"/>
    <w:rsid w:val="6854D4C0"/>
    <w:rsid w:val="686AFF77"/>
    <w:rsid w:val="68E8EF38"/>
    <w:rsid w:val="68EAA071"/>
    <w:rsid w:val="69135682"/>
    <w:rsid w:val="69651D10"/>
    <w:rsid w:val="698779F1"/>
    <w:rsid w:val="6A2EB9D8"/>
    <w:rsid w:val="6A8CFC0C"/>
    <w:rsid w:val="6B2A0D78"/>
    <w:rsid w:val="6B5997B5"/>
    <w:rsid w:val="6BAFBB0F"/>
    <w:rsid w:val="6C00BA12"/>
    <w:rsid w:val="6C1C2501"/>
    <w:rsid w:val="6CC1FD3F"/>
    <w:rsid w:val="6CD6D6BD"/>
    <w:rsid w:val="6D25C2E3"/>
    <w:rsid w:val="6D400CD5"/>
    <w:rsid w:val="6D40A181"/>
    <w:rsid w:val="6D94885C"/>
    <w:rsid w:val="6DBA80FF"/>
    <w:rsid w:val="6DD54EA5"/>
    <w:rsid w:val="6E1793A4"/>
    <w:rsid w:val="6E9A8DA5"/>
    <w:rsid w:val="6EA86450"/>
    <w:rsid w:val="6EFE1B9E"/>
    <w:rsid w:val="6F25D46B"/>
    <w:rsid w:val="6F4FA41C"/>
    <w:rsid w:val="6F81651C"/>
    <w:rsid w:val="6FBE8E75"/>
    <w:rsid w:val="7003950F"/>
    <w:rsid w:val="704DDE71"/>
    <w:rsid w:val="7054A8EA"/>
    <w:rsid w:val="705D537E"/>
    <w:rsid w:val="70BA7D6C"/>
    <w:rsid w:val="70C0D8BD"/>
    <w:rsid w:val="718BCE4E"/>
    <w:rsid w:val="71BD2328"/>
    <w:rsid w:val="71D22F04"/>
    <w:rsid w:val="726AE26E"/>
    <w:rsid w:val="72D1F267"/>
    <w:rsid w:val="72DEC975"/>
    <w:rsid w:val="734658E2"/>
    <w:rsid w:val="73F474D4"/>
    <w:rsid w:val="74A52A7E"/>
    <w:rsid w:val="74C87345"/>
    <w:rsid w:val="750BBAB8"/>
    <w:rsid w:val="75D1A898"/>
    <w:rsid w:val="75D43FB7"/>
    <w:rsid w:val="75D68834"/>
    <w:rsid w:val="76157107"/>
    <w:rsid w:val="777AFE53"/>
    <w:rsid w:val="77EFAB48"/>
    <w:rsid w:val="78B1E201"/>
    <w:rsid w:val="78E48F6F"/>
    <w:rsid w:val="79080162"/>
    <w:rsid w:val="7955A205"/>
    <w:rsid w:val="795EA9E8"/>
    <w:rsid w:val="7967C5CC"/>
    <w:rsid w:val="798719D4"/>
    <w:rsid w:val="79D38F4F"/>
    <w:rsid w:val="7A706092"/>
    <w:rsid w:val="7A79AD4C"/>
    <w:rsid w:val="7A80D269"/>
    <w:rsid w:val="7AF5B29D"/>
    <w:rsid w:val="7B4E3C9C"/>
    <w:rsid w:val="7BB03E15"/>
    <w:rsid w:val="7BB51EFA"/>
    <w:rsid w:val="7BCF3C39"/>
    <w:rsid w:val="7BE2D57B"/>
    <w:rsid w:val="7BFA9FB4"/>
    <w:rsid w:val="7C050ED3"/>
    <w:rsid w:val="7CD66730"/>
    <w:rsid w:val="7D0109F9"/>
    <w:rsid w:val="7E180554"/>
    <w:rsid w:val="7F32DB7F"/>
    <w:rsid w:val="7F4368F1"/>
    <w:rsid w:val="7F59A1C9"/>
    <w:rsid w:val="7FD378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7F791"/>
  <w15:chartTrackingRefBased/>
  <w15:docId w15:val="{4CE6374B-83B0-4F42-B62B-BCECBABA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D72F89"/>
    <w:pPr>
      <w:keepNext/>
      <w:keepLines/>
      <w:spacing w:before="240" w:after="0"/>
      <w:outlineLvl w:val="0"/>
    </w:pPr>
    <w:rPr>
      <w:rFonts w:asciiTheme="majorHAnsi" w:eastAsiaTheme="majorEastAsia" w:hAnsiTheme="majorHAnsi" w:cstheme="majorBidi"/>
      <w:color w:val="0F4761" w:themeColor="accent1" w:themeShade="BF"/>
      <w:sz w:val="36"/>
      <w:szCs w:val="40"/>
    </w:rPr>
  </w:style>
  <w:style w:type="paragraph" w:styleId="Titre2">
    <w:name w:val="heading 2"/>
    <w:basedOn w:val="Normal"/>
    <w:next w:val="Normal"/>
    <w:link w:val="Titre2Car"/>
    <w:uiPriority w:val="9"/>
    <w:unhideWhenUsed/>
    <w:qFormat/>
    <w:rsid w:val="00B91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B91612"/>
    <w:pPr>
      <w:keepNext/>
      <w:keepLines/>
      <w:numPr>
        <w:numId w:val="12"/>
      </w:numPr>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B9161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161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161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161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161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161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IStyle">
    <w:name w:val="HI Style"/>
    <w:basedOn w:val="Titre1"/>
    <w:link w:val="HIStyleCar"/>
    <w:autoRedefine/>
    <w:qFormat/>
    <w:rsid w:val="003F557A"/>
    <w:pPr>
      <w:spacing w:after="600"/>
    </w:pPr>
    <w:rPr>
      <w:rFonts w:ascii="Nunito ExtraLight" w:hAnsi="Nunito ExtraLight"/>
      <w:color w:val="0077C8"/>
      <w:sz w:val="56"/>
      <w:szCs w:val="56"/>
    </w:rPr>
  </w:style>
  <w:style w:type="character" w:customStyle="1" w:styleId="HIStyleCar">
    <w:name w:val="HI Style Car"/>
    <w:basedOn w:val="Titre1Car"/>
    <w:link w:val="HIStyle"/>
    <w:rsid w:val="003F557A"/>
    <w:rPr>
      <w:rFonts w:ascii="Nunito ExtraLight" w:eastAsiaTheme="majorEastAsia" w:hAnsi="Nunito ExtraLight" w:cstheme="majorBidi"/>
      <w:b w:val="0"/>
      <w:bCs w:val="0"/>
      <w:color w:val="0077C8"/>
      <w:sz w:val="56"/>
      <w:szCs w:val="56"/>
      <w:lang w:val="en-GB"/>
    </w:rPr>
  </w:style>
  <w:style w:type="character" w:customStyle="1" w:styleId="Titre1Car">
    <w:name w:val="Titre 1 Car"/>
    <w:basedOn w:val="Policepardfaut"/>
    <w:link w:val="Titre1"/>
    <w:uiPriority w:val="9"/>
    <w:rsid w:val="00D72F89"/>
    <w:rPr>
      <w:rFonts w:asciiTheme="majorHAnsi" w:eastAsiaTheme="majorEastAsia" w:hAnsiTheme="majorHAnsi" w:cstheme="majorBidi"/>
      <w:color w:val="0F4761" w:themeColor="accent1" w:themeShade="BF"/>
      <w:sz w:val="36"/>
      <w:szCs w:val="40"/>
      <w:lang w:val="en-GB"/>
    </w:rPr>
  </w:style>
  <w:style w:type="paragraph" w:customStyle="1" w:styleId="HIstyleTITRE">
    <w:name w:val="HI style TITRE"/>
    <w:basedOn w:val="HIStyle"/>
    <w:link w:val="HIstyleTITRECar"/>
    <w:qFormat/>
    <w:rsid w:val="00BC55FB"/>
  </w:style>
  <w:style w:type="character" w:customStyle="1" w:styleId="HIstyleTITRECar">
    <w:name w:val="HI style TITRE Car"/>
    <w:basedOn w:val="HIStyleCar"/>
    <w:link w:val="HIstyleTITRE"/>
    <w:rsid w:val="00BC55FB"/>
    <w:rPr>
      <w:rFonts w:ascii="Nunito ExtraLight" w:eastAsiaTheme="majorEastAsia" w:hAnsi="Nunito ExtraLight" w:cstheme="majorBidi"/>
      <w:b w:val="0"/>
      <w:bCs w:val="0"/>
      <w:color w:val="0077C8"/>
      <w:sz w:val="56"/>
      <w:szCs w:val="56"/>
      <w:lang w:val="en-GB"/>
    </w:rPr>
  </w:style>
  <w:style w:type="paragraph" w:customStyle="1" w:styleId="HITitre1">
    <w:name w:val="HI Titre 1"/>
    <w:basedOn w:val="Normal"/>
    <w:link w:val="HITitre1Car"/>
    <w:qFormat/>
    <w:rsid w:val="00BC55FB"/>
    <w:pPr>
      <w:spacing w:after="432"/>
    </w:pPr>
    <w:rPr>
      <w:rFonts w:ascii="Nunito ExtraBold" w:hAnsi="Nunito ExtraBold"/>
      <w:color w:val="0077C8"/>
      <w:sz w:val="36"/>
    </w:rPr>
  </w:style>
  <w:style w:type="character" w:customStyle="1" w:styleId="HITitre1Car">
    <w:name w:val="HI Titre 1 Car"/>
    <w:basedOn w:val="Policepardfaut"/>
    <w:link w:val="HITitre1"/>
    <w:rsid w:val="00BC55FB"/>
    <w:rPr>
      <w:rFonts w:ascii="Nunito ExtraBold" w:hAnsi="Nunito ExtraBold"/>
      <w:color w:val="0077C8"/>
      <w:sz w:val="36"/>
    </w:rPr>
  </w:style>
  <w:style w:type="paragraph" w:customStyle="1" w:styleId="HIintertitre">
    <w:name w:val="HI intertitre"/>
    <w:basedOn w:val="Normal"/>
    <w:link w:val="HIintertitreCar"/>
    <w:qFormat/>
    <w:rsid w:val="00BC55FB"/>
    <w:pPr>
      <w:spacing w:after="360"/>
    </w:pPr>
    <w:rPr>
      <w:rFonts w:ascii="Nunito ExtraBold" w:hAnsi="Nunito ExtraBold"/>
      <w:sz w:val="28"/>
    </w:rPr>
  </w:style>
  <w:style w:type="character" w:customStyle="1" w:styleId="HIintertitreCar">
    <w:name w:val="HI intertitre Car"/>
    <w:basedOn w:val="Policepardfaut"/>
    <w:link w:val="HIintertitre"/>
    <w:rsid w:val="00BC55FB"/>
    <w:rPr>
      <w:rFonts w:ascii="Nunito ExtraBold" w:hAnsi="Nunito ExtraBold"/>
      <w:sz w:val="28"/>
    </w:rPr>
  </w:style>
  <w:style w:type="paragraph" w:customStyle="1" w:styleId="HIcorpstexte">
    <w:name w:val="HI corps texte"/>
    <w:basedOn w:val="Normal"/>
    <w:link w:val="HIcorpstexteCar"/>
    <w:qFormat/>
    <w:rsid w:val="00BC55FB"/>
    <w:pPr>
      <w:spacing w:after="264"/>
    </w:pPr>
    <w:rPr>
      <w:rFonts w:ascii="Nunito" w:hAnsi="Nunito"/>
      <w:sz w:val="24"/>
    </w:rPr>
  </w:style>
  <w:style w:type="character" w:customStyle="1" w:styleId="HIcorpstexteCar">
    <w:name w:val="HI corps texte Car"/>
    <w:basedOn w:val="Policepardfaut"/>
    <w:link w:val="HIcorpstexte"/>
    <w:rsid w:val="00BC55FB"/>
    <w:rPr>
      <w:rFonts w:ascii="Nunito" w:hAnsi="Nunito"/>
      <w:sz w:val="24"/>
    </w:rPr>
  </w:style>
  <w:style w:type="paragraph" w:customStyle="1" w:styleId="HIannotation">
    <w:name w:val="HI annotation"/>
    <w:basedOn w:val="Normal"/>
    <w:link w:val="HIannotationCar"/>
    <w:qFormat/>
    <w:rsid w:val="00BC55FB"/>
    <w:pPr>
      <w:spacing w:after="216"/>
    </w:pPr>
    <w:rPr>
      <w:rFonts w:ascii="Nunito" w:hAnsi="Nunito"/>
      <w:sz w:val="18"/>
    </w:rPr>
  </w:style>
  <w:style w:type="character" w:customStyle="1" w:styleId="HIannotationCar">
    <w:name w:val="HI annotation Car"/>
    <w:basedOn w:val="Policepardfaut"/>
    <w:link w:val="HIannotation"/>
    <w:rsid w:val="00BC55FB"/>
    <w:rPr>
      <w:rFonts w:ascii="Nunito" w:hAnsi="Nunito"/>
      <w:sz w:val="18"/>
    </w:rPr>
  </w:style>
  <w:style w:type="character" w:customStyle="1" w:styleId="Titre2Car">
    <w:name w:val="Titre 2 Car"/>
    <w:basedOn w:val="Policepardfaut"/>
    <w:link w:val="Titre2"/>
    <w:uiPriority w:val="9"/>
    <w:rsid w:val="00B91612"/>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rsid w:val="00B91612"/>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rsid w:val="00B91612"/>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B91612"/>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B91612"/>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B91612"/>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B91612"/>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B91612"/>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B91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1612"/>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B9161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1612"/>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B91612"/>
    <w:pPr>
      <w:spacing w:before="160"/>
      <w:jc w:val="center"/>
    </w:pPr>
    <w:rPr>
      <w:i/>
      <w:iCs/>
      <w:color w:val="404040" w:themeColor="text1" w:themeTint="BF"/>
    </w:rPr>
  </w:style>
  <w:style w:type="character" w:customStyle="1" w:styleId="CitationCar">
    <w:name w:val="Citation Car"/>
    <w:basedOn w:val="Policepardfaut"/>
    <w:link w:val="Citation"/>
    <w:uiPriority w:val="29"/>
    <w:rsid w:val="00B91612"/>
    <w:rPr>
      <w:i/>
      <w:iCs/>
      <w:color w:val="404040" w:themeColor="text1" w:themeTint="BF"/>
      <w:lang w:val="fr-FR"/>
    </w:rPr>
  </w:style>
  <w:style w:type="paragraph" w:styleId="Paragraphedeliste">
    <w:name w:val="List Paragraph"/>
    <w:aliases w:val="Bullets,Paragraphe de liste 1,References,Paragraphe à Puce,Paragraphe de liste1,1,Liste couleur - Accent 11,RM1,List Paragraph (numbered (a))"/>
    <w:basedOn w:val="Normal"/>
    <w:link w:val="ParagraphedelisteCar"/>
    <w:uiPriority w:val="34"/>
    <w:qFormat/>
    <w:rsid w:val="00B91612"/>
    <w:pPr>
      <w:ind w:left="720"/>
      <w:contextualSpacing/>
    </w:pPr>
  </w:style>
  <w:style w:type="character" w:styleId="Accentuationintense">
    <w:name w:val="Intense Emphasis"/>
    <w:basedOn w:val="Policepardfaut"/>
    <w:uiPriority w:val="21"/>
    <w:qFormat/>
    <w:rsid w:val="00B91612"/>
    <w:rPr>
      <w:i/>
      <w:iCs/>
      <w:color w:val="0F4761" w:themeColor="accent1" w:themeShade="BF"/>
    </w:rPr>
  </w:style>
  <w:style w:type="paragraph" w:styleId="Citationintense">
    <w:name w:val="Intense Quote"/>
    <w:basedOn w:val="Normal"/>
    <w:next w:val="Normal"/>
    <w:link w:val="CitationintenseCar"/>
    <w:uiPriority w:val="30"/>
    <w:qFormat/>
    <w:rsid w:val="00B91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1612"/>
    <w:rPr>
      <w:i/>
      <w:iCs/>
      <w:color w:val="0F4761" w:themeColor="accent1" w:themeShade="BF"/>
      <w:lang w:val="fr-FR"/>
    </w:rPr>
  </w:style>
  <w:style w:type="character" w:styleId="Rfrenceintense">
    <w:name w:val="Intense Reference"/>
    <w:basedOn w:val="Policepardfaut"/>
    <w:uiPriority w:val="32"/>
    <w:qFormat/>
    <w:rsid w:val="00B91612"/>
    <w:rPr>
      <w:b/>
      <w:bCs/>
      <w:smallCaps/>
      <w:color w:val="0F4761" w:themeColor="accent1" w:themeShade="BF"/>
      <w:spacing w:val="5"/>
    </w:rPr>
  </w:style>
  <w:style w:type="character" w:customStyle="1" w:styleId="ParagraphedelisteCar">
    <w:name w:val="Paragraphe de liste Car"/>
    <w:aliases w:val="Bullets Car,Paragraphe de liste 1 Car,References Car,Paragraphe à Puce Car,Paragraphe de liste1 Car,1 Car,Liste couleur - Accent 11 Car,RM1 Car,List Paragraph (numbered (a)) Car"/>
    <w:link w:val="Paragraphedeliste"/>
    <w:uiPriority w:val="34"/>
    <w:locked/>
    <w:rsid w:val="00B92543"/>
    <w:rPr>
      <w:lang w:val="fr-FR"/>
    </w:rPr>
  </w:style>
  <w:style w:type="character" w:styleId="Lienhypertexte">
    <w:name w:val="Hyperlink"/>
    <w:basedOn w:val="Policepardfaut"/>
    <w:uiPriority w:val="99"/>
    <w:unhideWhenUsed/>
    <w:rsid w:val="00467BAB"/>
    <w:rPr>
      <w:color w:val="467886" w:themeColor="hyperlink"/>
      <w:u w:val="single"/>
    </w:rPr>
  </w:style>
  <w:style w:type="character" w:styleId="Mentionnonrsolue">
    <w:name w:val="Unresolved Mention"/>
    <w:basedOn w:val="Policepardfaut"/>
    <w:uiPriority w:val="99"/>
    <w:semiHidden/>
    <w:unhideWhenUsed/>
    <w:rsid w:val="00467BAB"/>
    <w:rPr>
      <w:color w:val="605E5C"/>
      <w:shd w:val="clear" w:color="auto" w:fill="E1DFDD"/>
    </w:rPr>
  </w:style>
  <w:style w:type="paragraph" w:styleId="NormalWeb">
    <w:name w:val="Normal (Web)"/>
    <w:basedOn w:val="Normal"/>
    <w:uiPriority w:val="99"/>
    <w:semiHidden/>
    <w:unhideWhenUsed/>
    <w:rsid w:val="009B63C7"/>
    <w:rPr>
      <w:rFonts w:ascii="Times New Roman" w:hAnsi="Times New Roman" w:cs="Times New Roman"/>
      <w:sz w:val="24"/>
      <w:szCs w:val="24"/>
    </w:rPr>
  </w:style>
  <w:style w:type="paragraph" w:styleId="En-tte">
    <w:name w:val="header"/>
    <w:basedOn w:val="Normal"/>
    <w:link w:val="En-tteCar"/>
    <w:uiPriority w:val="99"/>
    <w:unhideWhenUsed/>
    <w:rsid w:val="00CB2C4E"/>
    <w:pPr>
      <w:tabs>
        <w:tab w:val="center" w:pos="4703"/>
        <w:tab w:val="right" w:pos="9406"/>
      </w:tabs>
      <w:spacing w:after="0" w:line="240" w:lineRule="auto"/>
    </w:pPr>
  </w:style>
  <w:style w:type="character" w:customStyle="1" w:styleId="En-tteCar">
    <w:name w:val="En-tête Car"/>
    <w:basedOn w:val="Policepardfaut"/>
    <w:link w:val="En-tte"/>
    <w:uiPriority w:val="99"/>
    <w:rsid w:val="00CB2C4E"/>
    <w:rPr>
      <w:lang w:val="en-GB"/>
    </w:rPr>
  </w:style>
  <w:style w:type="paragraph" w:styleId="Pieddepage">
    <w:name w:val="footer"/>
    <w:basedOn w:val="Normal"/>
    <w:link w:val="PieddepageCar"/>
    <w:uiPriority w:val="99"/>
    <w:unhideWhenUsed/>
    <w:rsid w:val="00CB2C4E"/>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B2C4E"/>
    <w:rPr>
      <w:lang w:val="en-GB"/>
    </w:rPr>
  </w:style>
  <w:style w:type="paragraph" w:styleId="Notedebasdepage">
    <w:name w:val="footnote text"/>
    <w:basedOn w:val="Normal"/>
    <w:link w:val="NotedebasdepageCar"/>
    <w:uiPriority w:val="99"/>
    <w:unhideWhenUsed/>
    <w:qFormat/>
    <w:rsid w:val="009D3767"/>
    <w:pPr>
      <w:spacing w:before="40" w:after="0" w:line="240" w:lineRule="auto"/>
      <w:jc w:val="both"/>
    </w:pPr>
    <w:rPr>
      <w:rFonts w:ascii="Nunito" w:hAnsi="Nunito"/>
      <w:sz w:val="18"/>
      <w:szCs w:val="20"/>
      <w14:ligatures w14:val="none"/>
    </w:rPr>
  </w:style>
  <w:style w:type="character" w:customStyle="1" w:styleId="NotedebasdepageCar">
    <w:name w:val="Note de bas de page Car"/>
    <w:basedOn w:val="Policepardfaut"/>
    <w:link w:val="Notedebasdepage"/>
    <w:uiPriority w:val="99"/>
    <w:rsid w:val="009D3767"/>
    <w:rPr>
      <w:rFonts w:ascii="Nunito" w:hAnsi="Nunito"/>
      <w:sz w:val="18"/>
      <w:szCs w:val="20"/>
      <w:lang w:val="en-GB"/>
      <w14:ligatures w14:val="none"/>
    </w:rPr>
  </w:style>
  <w:style w:type="character" w:styleId="lev">
    <w:name w:val="Strong"/>
    <w:basedOn w:val="Policepardfaut"/>
    <w:uiPriority w:val="22"/>
    <w:qFormat/>
    <w:rsid w:val="007C01D6"/>
    <w:rPr>
      <w:b/>
      <w:bCs/>
    </w:rPr>
  </w:style>
  <w:style w:type="character" w:styleId="Marquedecommentaire">
    <w:name w:val="annotation reference"/>
    <w:basedOn w:val="Policepardfaut"/>
    <w:uiPriority w:val="99"/>
    <w:semiHidden/>
    <w:unhideWhenUsed/>
    <w:rsid w:val="0026128B"/>
    <w:rPr>
      <w:sz w:val="16"/>
      <w:szCs w:val="16"/>
    </w:rPr>
  </w:style>
  <w:style w:type="paragraph" w:styleId="Commentaire">
    <w:name w:val="annotation text"/>
    <w:basedOn w:val="Normal"/>
    <w:link w:val="CommentaireCar"/>
    <w:uiPriority w:val="99"/>
    <w:unhideWhenUsed/>
    <w:rsid w:val="0026128B"/>
    <w:pPr>
      <w:spacing w:line="240" w:lineRule="auto"/>
    </w:pPr>
    <w:rPr>
      <w:sz w:val="20"/>
      <w:szCs w:val="20"/>
    </w:rPr>
  </w:style>
  <w:style w:type="character" w:customStyle="1" w:styleId="CommentaireCar">
    <w:name w:val="Commentaire Car"/>
    <w:basedOn w:val="Policepardfaut"/>
    <w:link w:val="Commentaire"/>
    <w:uiPriority w:val="99"/>
    <w:rsid w:val="0026128B"/>
    <w:rPr>
      <w:sz w:val="20"/>
      <w:szCs w:val="20"/>
      <w:lang w:val="en-GB"/>
    </w:rPr>
  </w:style>
  <w:style w:type="paragraph" w:styleId="Objetducommentaire">
    <w:name w:val="annotation subject"/>
    <w:basedOn w:val="Commentaire"/>
    <w:next w:val="Commentaire"/>
    <w:link w:val="ObjetducommentaireCar"/>
    <w:uiPriority w:val="99"/>
    <w:semiHidden/>
    <w:unhideWhenUsed/>
    <w:rsid w:val="0026128B"/>
    <w:rPr>
      <w:b/>
      <w:bCs/>
    </w:rPr>
  </w:style>
  <w:style w:type="character" w:customStyle="1" w:styleId="ObjetducommentaireCar">
    <w:name w:val="Objet du commentaire Car"/>
    <w:basedOn w:val="CommentaireCar"/>
    <w:link w:val="Objetducommentaire"/>
    <w:uiPriority w:val="99"/>
    <w:semiHidden/>
    <w:rsid w:val="0026128B"/>
    <w:rPr>
      <w:b/>
      <w:bCs/>
      <w:sz w:val="20"/>
      <w:szCs w:val="20"/>
      <w:lang w:val="en-GB"/>
    </w:rPr>
  </w:style>
  <w:style w:type="character" w:styleId="Appelnotedebasdep">
    <w:name w:val="footnote reference"/>
    <w:basedOn w:val="Policepardfaut"/>
    <w:uiPriority w:val="99"/>
    <w:semiHidden/>
    <w:unhideWhenUsed/>
    <w:rPr>
      <w:vertAlign w:val="superscript"/>
    </w:rPr>
  </w:style>
  <w:style w:type="paragraph" w:styleId="Textedebulles">
    <w:name w:val="Balloon Text"/>
    <w:basedOn w:val="Normal"/>
    <w:link w:val="TextedebullesCar"/>
    <w:uiPriority w:val="99"/>
    <w:semiHidden/>
    <w:unhideWhenUsed/>
    <w:rsid w:val="00594E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4E0D"/>
    <w:rPr>
      <w:rFonts w:ascii="Segoe UI" w:hAnsi="Segoe UI" w:cs="Segoe UI"/>
      <w:sz w:val="18"/>
      <w:szCs w:val="18"/>
      <w:lang w:val="en-GB"/>
    </w:rPr>
  </w:style>
  <w:style w:type="character" w:styleId="Accentuation">
    <w:name w:val="Emphasis"/>
    <w:basedOn w:val="Policepardfaut"/>
    <w:uiPriority w:val="20"/>
    <w:qFormat/>
    <w:rsid w:val="0052265D"/>
    <w:rPr>
      <w:i/>
      <w:iCs/>
    </w:rPr>
  </w:style>
  <w:style w:type="paragraph" w:styleId="Sansinterligne">
    <w:name w:val="No Spacing"/>
    <w:link w:val="SansinterligneCar"/>
    <w:uiPriority w:val="1"/>
    <w:qFormat/>
    <w:rsid w:val="006B2F55"/>
    <w:pPr>
      <w:spacing w:after="0" w:line="240" w:lineRule="auto"/>
    </w:pPr>
    <w:rPr>
      <w:rFonts w:ascii="Calibri" w:eastAsia="Times New Roman" w:hAnsi="Calibri" w:cs="Times New Roman"/>
      <w14:ligatures w14:val="none"/>
    </w:rPr>
  </w:style>
  <w:style w:type="character" w:customStyle="1" w:styleId="SansinterligneCar">
    <w:name w:val="Sans interligne Car"/>
    <w:link w:val="Sansinterligne"/>
    <w:uiPriority w:val="1"/>
    <w:rsid w:val="006B2F55"/>
    <w:rPr>
      <w:rFonts w:ascii="Calibri" w:eastAsia="Times New Roman" w:hAnsi="Calibri" w:cs="Times New Roman"/>
      <w14:ligatures w14:val="none"/>
    </w:rPr>
  </w:style>
  <w:style w:type="paragraph" w:styleId="Rvision">
    <w:name w:val="Revision"/>
    <w:hidden/>
    <w:uiPriority w:val="99"/>
    <w:semiHidden/>
    <w:rsid w:val="002B0EAC"/>
    <w:pPr>
      <w:spacing w:after="0" w:line="240" w:lineRule="auto"/>
    </w:pPr>
    <w:rPr>
      <w:lang w:val="en-GB"/>
    </w:rPr>
  </w:style>
  <w:style w:type="character" w:styleId="Lienhypertextesuivivisit">
    <w:name w:val="FollowedHyperlink"/>
    <w:basedOn w:val="Policepardfaut"/>
    <w:uiPriority w:val="99"/>
    <w:semiHidden/>
    <w:unhideWhenUsed/>
    <w:rsid w:val="00D870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mkutumula@diwaafrica.org" TargetMode="External"/><Relationship Id="rId13" Type="http://schemas.openxmlformats.org/officeDocument/2006/relationships/hyperlink" Target="https://presidence.gov.bi/2016/09/22/loi-n1013-du-22-septembre-2016-portant-prevention-protection-des-victimes-et-repression-des-violences-basees-sur-le-genre/" TargetMode="External"/><Relationship Id="rId18" Type="http://schemas.openxmlformats.org/officeDocument/2006/relationships/hyperlink" Target="https://www.ansd.sn/sites/default/files/recensements/rapport/Chapitre%2011%20-%20HANDICAP-Rapport-Provisoire-RGPH5_juillet2024.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knbs.or.ke/wp-content/uploads/2023/09/2019-Kenya-population-and-Housing-Census-Analytical-Report-on-Disability.pdf" TargetMode="External"/><Relationship Id="rId7" Type="http://schemas.openxmlformats.org/officeDocument/2006/relationships/endnotes" Target="endnotes.xml"/><Relationship Id="rId12" Type="http://schemas.openxmlformats.org/officeDocument/2006/relationships/hyperlink" Target="https://au.int/sites/default/files/treaties/44924-treaty-EN_AU_Convention_on_Ending_Violence_Against_Women_and_Girls_CEVAWG_27.05.2025.pdf" TargetMode="External"/><Relationship Id="rId17" Type="http://schemas.openxmlformats.org/officeDocument/2006/relationships/hyperlink" Target="https://www.rfa.rw/news/news-details/rwandas-ambitious-congo-nile-divide-restoration-project-begin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nvironment.gov.rw/news-detail/rwandas-2024-achievements-in-climate-action-and-sustainability" TargetMode="External"/><Relationship Id="rId20" Type="http://schemas.openxmlformats.org/officeDocument/2006/relationships/hyperlink" Target="https://www.knbs.or.ke/2019-kenya-population-and-housing-census-result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ogbv.mw/survivor/" TargetMode="External"/><Relationship Id="rId24" Type="http://schemas.openxmlformats.org/officeDocument/2006/relationships/hyperlink" Target="https://bit.ly/VoicesOf" TargetMode="External"/><Relationship Id="rId5" Type="http://schemas.openxmlformats.org/officeDocument/2006/relationships/webSettings" Target="webSettings.xml"/><Relationship Id="rId15" Type="http://schemas.openxmlformats.org/officeDocument/2006/relationships/hyperlink" Target="https://awwdi.org.ng/nasarawa-state-adopts-srhr-policy-for-women-and-girls-with-disabilities-a-bold-step-toward-inclusive-healthcare-with-support-from-hivos-and-welead/" TargetMode="External"/><Relationship Id="rId23" Type="http://schemas.openxmlformats.org/officeDocument/2006/relationships/hyperlink" Target="https://www.knbs.or.ke/wp-content/uploads/2025/01/2023-24-Kenya-Housing-Survey-Basic-Report1.pdf" TargetMode="External"/><Relationship Id="rId28" Type="http://schemas.openxmlformats.org/officeDocument/2006/relationships/theme" Target="theme/theme1.xml"/><Relationship Id="rId10" Type="http://schemas.openxmlformats.org/officeDocument/2006/relationships/hyperlink" Target="https://www.makingitwork-crpd.org/leave-no-woman-behind" TargetMode="External"/><Relationship Id="rId19" Type="http://schemas.openxmlformats.org/officeDocument/2006/relationships/hyperlink" Target="https://www.ansd.sn/sites/default/files/2024-11/Brochure_ENR-VFFS_0.pdf" TargetMode="External"/><Relationship Id="rId4" Type="http://schemas.openxmlformats.org/officeDocument/2006/relationships/settings" Target="settings.xml"/><Relationship Id="rId9" Type="http://schemas.openxmlformats.org/officeDocument/2006/relationships/hyperlink" Target="mailto:s.pecourt@hi.org" TargetMode="External"/><Relationship Id="rId14" Type="http://schemas.openxmlformats.org/officeDocument/2006/relationships/hyperlink" Target="https://www.makingitwork-crpd.org/sites/default/files/2024-11/Wildaf-Protocole%20Africain%20Handicap%20Simplifie%2026112024.pdf" TargetMode="External"/><Relationship Id="rId22" Type="http://schemas.openxmlformats.org/officeDocument/2006/relationships/hyperlink" Target="https://www.knbs.or.ke/wp-content/uploads/2023/09/2019-Kenya-population-and-Housing-Census-Analytical-Report-on-Gender-Dimensions.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nsd.sn/sites/default/files/2024-07/RGPH-5_Rapport%20global-Prov-juillet2024.pdf" TargetMode="External"/><Relationship Id="rId1" Type="http://schemas.openxmlformats.org/officeDocument/2006/relationships/hyperlink" Target="https://au.int/sites/default/files/treaties/44924-treaty-EN_AU_Convention_on_Ending_Violence_Against_Women_and_Girls_CEVAWG_27.05.2025.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80152-0DC9-4967-9D83-7EC4BA96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3920</Words>
  <Characters>22346</Characters>
  <Application>Microsoft Office Word</Application>
  <DocSecurity>0</DocSecurity>
  <Lines>186</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Federation HI</Company>
  <LinksUpToDate>false</LinksUpToDate>
  <CharactersWithSpaces>26214</CharactersWithSpaces>
  <SharedDoc>false</SharedDoc>
  <HLinks>
    <vt:vector size="132" baseType="variant">
      <vt:variant>
        <vt:i4>3801194</vt:i4>
      </vt:variant>
      <vt:variant>
        <vt:i4>60</vt:i4>
      </vt:variant>
      <vt:variant>
        <vt:i4>0</vt:i4>
      </vt:variant>
      <vt:variant>
        <vt:i4>5</vt:i4>
      </vt:variant>
      <vt:variant>
        <vt:lpwstr>https://bit.ly/VoicesOf</vt:lpwstr>
      </vt:variant>
      <vt:variant>
        <vt:lpwstr/>
      </vt:variant>
      <vt:variant>
        <vt:i4>3801194</vt:i4>
      </vt:variant>
      <vt:variant>
        <vt:i4>57</vt:i4>
      </vt:variant>
      <vt:variant>
        <vt:i4>0</vt:i4>
      </vt:variant>
      <vt:variant>
        <vt:i4>5</vt:i4>
      </vt:variant>
      <vt:variant>
        <vt:lpwstr>https://bit.ly/VoicesOf</vt:lpwstr>
      </vt:variant>
      <vt:variant>
        <vt:lpwstr/>
      </vt:variant>
      <vt:variant>
        <vt:i4>1179678</vt:i4>
      </vt:variant>
      <vt:variant>
        <vt:i4>54</vt:i4>
      </vt:variant>
      <vt:variant>
        <vt:i4>0</vt:i4>
      </vt:variant>
      <vt:variant>
        <vt:i4>5</vt:i4>
      </vt:variant>
      <vt:variant>
        <vt:lpwstr>https://www.knbs.or.ke/wp-content/uploads/2025/01/2023-24-Kenya-Housing-Survey-Basic-Report1.pdf</vt:lpwstr>
      </vt:variant>
      <vt:variant>
        <vt:lpwstr/>
      </vt:variant>
      <vt:variant>
        <vt:i4>5111832</vt:i4>
      </vt:variant>
      <vt:variant>
        <vt:i4>51</vt:i4>
      </vt:variant>
      <vt:variant>
        <vt:i4>0</vt:i4>
      </vt:variant>
      <vt:variant>
        <vt:i4>5</vt:i4>
      </vt:variant>
      <vt:variant>
        <vt:lpwstr>https://www.knbs.or.ke/wp-content/uploads/2023/09/2019-Kenya-population-and-Housing-Census-Analytical-Report-on-Gender-Dimensions.pdf</vt:lpwstr>
      </vt:variant>
      <vt:variant>
        <vt:lpwstr/>
      </vt:variant>
      <vt:variant>
        <vt:i4>7340141</vt:i4>
      </vt:variant>
      <vt:variant>
        <vt:i4>48</vt:i4>
      </vt:variant>
      <vt:variant>
        <vt:i4>0</vt:i4>
      </vt:variant>
      <vt:variant>
        <vt:i4>5</vt:i4>
      </vt:variant>
      <vt:variant>
        <vt:lpwstr>https://www.knbs.or.ke/wp-content/uploads/2023/09/2019-Kenya-population-and-Housing-Census-Analytical-Report-on-Disability.pdf</vt:lpwstr>
      </vt:variant>
      <vt:variant>
        <vt:lpwstr/>
      </vt:variant>
      <vt:variant>
        <vt:i4>1703937</vt:i4>
      </vt:variant>
      <vt:variant>
        <vt:i4>45</vt:i4>
      </vt:variant>
      <vt:variant>
        <vt:i4>0</vt:i4>
      </vt:variant>
      <vt:variant>
        <vt:i4>5</vt:i4>
      </vt:variant>
      <vt:variant>
        <vt:lpwstr>https://www.knbs.or.ke/2019-kenya-population-and-housing-census-results/</vt:lpwstr>
      </vt:variant>
      <vt:variant>
        <vt:lpwstr/>
      </vt:variant>
      <vt:variant>
        <vt:i4>262233</vt:i4>
      </vt:variant>
      <vt:variant>
        <vt:i4>42</vt:i4>
      </vt:variant>
      <vt:variant>
        <vt:i4>0</vt:i4>
      </vt:variant>
      <vt:variant>
        <vt:i4>5</vt:i4>
      </vt:variant>
      <vt:variant>
        <vt:lpwstr>https://www.jointdatacenter.org/2024-malawi-demographic-and-health-survey-mdhs-key-indicators-report/</vt:lpwstr>
      </vt:variant>
      <vt:variant>
        <vt:lpwstr/>
      </vt:variant>
      <vt:variant>
        <vt:i4>3473526</vt:i4>
      </vt:variant>
      <vt:variant>
        <vt:i4>39</vt:i4>
      </vt:variant>
      <vt:variant>
        <vt:i4>0</vt:i4>
      </vt:variant>
      <vt:variant>
        <vt:i4>5</vt:i4>
      </vt:variant>
      <vt:variant>
        <vt:lpwstr>https://malawi.unfpa.org/sites/default/files/resource-pdf/2018 Malawi Population and Housing Census Main Report %281%29.pdf</vt:lpwstr>
      </vt:variant>
      <vt:variant>
        <vt:lpwstr/>
      </vt:variant>
      <vt:variant>
        <vt:i4>1310789</vt:i4>
      </vt:variant>
      <vt:variant>
        <vt:i4>36</vt:i4>
      </vt:variant>
      <vt:variant>
        <vt:i4>0</vt:i4>
      </vt:variant>
      <vt:variant>
        <vt:i4>5</vt:i4>
      </vt:variant>
      <vt:variant>
        <vt:lpwstr>https://www.nsomalawi.mw/</vt:lpwstr>
      </vt:variant>
      <vt:variant>
        <vt:lpwstr/>
      </vt:variant>
      <vt:variant>
        <vt:i4>5242974</vt:i4>
      </vt:variant>
      <vt:variant>
        <vt:i4>33</vt:i4>
      </vt:variant>
      <vt:variant>
        <vt:i4>0</vt:i4>
      </vt:variant>
      <vt:variant>
        <vt:i4>5</vt:i4>
      </vt:variant>
      <vt:variant>
        <vt:lpwstr>https://www.ansd.sn/sites/default/files/2024-11/Brochure_ENR-VFFS_0.pdf</vt:lpwstr>
      </vt:variant>
      <vt:variant>
        <vt:lpwstr/>
      </vt:variant>
      <vt:variant>
        <vt:i4>4980772</vt:i4>
      </vt:variant>
      <vt:variant>
        <vt:i4>30</vt:i4>
      </vt:variant>
      <vt:variant>
        <vt:i4>0</vt:i4>
      </vt:variant>
      <vt:variant>
        <vt:i4>5</vt:i4>
      </vt:variant>
      <vt:variant>
        <vt:lpwstr>https://www.ansd.sn/sites/default/files/recensements/rapport/Chapitre 12 - SITUATION-FEMMES-Rapport-Provisoire-RGPH5_juillet2024.pdf</vt:lpwstr>
      </vt:variant>
      <vt:variant>
        <vt:lpwstr/>
      </vt:variant>
      <vt:variant>
        <vt:i4>5111907</vt:i4>
      </vt:variant>
      <vt:variant>
        <vt:i4>27</vt:i4>
      </vt:variant>
      <vt:variant>
        <vt:i4>0</vt:i4>
      </vt:variant>
      <vt:variant>
        <vt:i4>5</vt:i4>
      </vt:variant>
      <vt:variant>
        <vt:lpwstr>https://www.ansd.sn/sites/default/files/recensements/rapport/Chapitre 11 - HANDICAP-Rapport-Provisoire-RGPH5_juillet2024.pdf</vt:lpwstr>
      </vt:variant>
      <vt:variant>
        <vt:lpwstr/>
      </vt:variant>
      <vt:variant>
        <vt:i4>4128803</vt:i4>
      </vt:variant>
      <vt:variant>
        <vt:i4>24</vt:i4>
      </vt:variant>
      <vt:variant>
        <vt:i4>0</vt:i4>
      </vt:variant>
      <vt:variant>
        <vt:i4>5</vt:i4>
      </vt:variant>
      <vt:variant>
        <vt:lpwstr>https://www.greenclimate.fund/sites/default/files/document/fp217-gap-cover.pdf</vt:lpwstr>
      </vt:variant>
      <vt:variant>
        <vt:lpwstr/>
      </vt:variant>
      <vt:variant>
        <vt:i4>7798902</vt:i4>
      </vt:variant>
      <vt:variant>
        <vt:i4>21</vt:i4>
      </vt:variant>
      <vt:variant>
        <vt:i4>0</vt:i4>
      </vt:variant>
      <vt:variant>
        <vt:i4>5</vt:i4>
      </vt:variant>
      <vt:variant>
        <vt:lpwstr>https://www.rfa.rw/news/news-details/rwandas-ambitious-congo-nile-divide-restoration-project-begins</vt:lpwstr>
      </vt:variant>
      <vt:variant>
        <vt:lpwstr/>
      </vt:variant>
      <vt:variant>
        <vt:i4>4849739</vt:i4>
      </vt:variant>
      <vt:variant>
        <vt:i4>18</vt:i4>
      </vt:variant>
      <vt:variant>
        <vt:i4>0</vt:i4>
      </vt:variant>
      <vt:variant>
        <vt:i4>5</vt:i4>
      </vt:variant>
      <vt:variant>
        <vt:lpwstr>https://www.environment.gov.rw/news-detail/rwandas-2024-achievements-in-climate-action-and-sustainability</vt:lpwstr>
      </vt:variant>
      <vt:variant>
        <vt:lpwstr/>
      </vt:variant>
      <vt:variant>
        <vt:i4>1900634</vt:i4>
      </vt:variant>
      <vt:variant>
        <vt:i4>15</vt:i4>
      </vt:variant>
      <vt:variant>
        <vt:i4>0</vt:i4>
      </vt:variant>
      <vt:variant>
        <vt:i4>5</vt:i4>
      </vt:variant>
      <vt:variant>
        <vt:lpwstr>https://awwdi.org.ng/nasarawa-state-adopts-srhr-policy-for-women-and-girls-with-disabilities-a-bold-step-toward-inclusive-healthcare-with-support-from-hivos-and-welead/</vt:lpwstr>
      </vt:variant>
      <vt:variant>
        <vt:lpwstr/>
      </vt:variant>
      <vt:variant>
        <vt:i4>7078015</vt:i4>
      </vt:variant>
      <vt:variant>
        <vt:i4>12</vt:i4>
      </vt:variant>
      <vt:variant>
        <vt:i4>0</vt:i4>
      </vt:variant>
      <vt:variant>
        <vt:i4>5</vt:i4>
      </vt:variant>
      <vt:variant>
        <vt:lpwstr>https://www.makingitwork-crpd.org/sites/default/files/2024-11/Wildaf-Protocole Africain Handicap Simplifie 26112024.pdf</vt:lpwstr>
      </vt:variant>
      <vt:variant>
        <vt:lpwstr/>
      </vt:variant>
      <vt:variant>
        <vt:i4>4063341</vt:i4>
      </vt:variant>
      <vt:variant>
        <vt:i4>9</vt:i4>
      </vt:variant>
      <vt:variant>
        <vt:i4>0</vt:i4>
      </vt:variant>
      <vt:variant>
        <vt:i4>5</vt:i4>
      </vt:variant>
      <vt:variant>
        <vt:lpwstr>https://presidence.gov.bi/2016/09/22/loi-n1013-du-22-septembre-2016-portant-prevention-protection-des-victimes-et-repression-des-violences-basees-sur-le-genre/</vt:lpwstr>
      </vt:variant>
      <vt:variant>
        <vt:lpwstr/>
      </vt:variant>
      <vt:variant>
        <vt:i4>8060990</vt:i4>
      </vt:variant>
      <vt:variant>
        <vt:i4>6</vt:i4>
      </vt:variant>
      <vt:variant>
        <vt:i4>0</vt:i4>
      </vt:variant>
      <vt:variant>
        <vt:i4>5</vt:i4>
      </vt:variant>
      <vt:variant>
        <vt:lpwstr>https://pap.au.int/en/news/press-releases/2022-08-25/pap-establishes-new-subcommittee-promote-ratification-african</vt:lpwstr>
      </vt:variant>
      <vt:variant>
        <vt:lpwstr/>
      </vt:variant>
      <vt:variant>
        <vt:i4>6684719</vt:i4>
      </vt:variant>
      <vt:variant>
        <vt:i4>3</vt:i4>
      </vt:variant>
      <vt:variant>
        <vt:i4>0</vt:i4>
      </vt:variant>
      <vt:variant>
        <vt:i4>5</vt:i4>
      </vt:variant>
      <vt:variant>
        <vt:lpwstr>https://www.africanparliamentarynews.com/2025/09/west-africa-regional-consultation-on.html</vt:lpwstr>
      </vt:variant>
      <vt:variant>
        <vt:lpwstr/>
      </vt:variant>
      <vt:variant>
        <vt:i4>3539069</vt:i4>
      </vt:variant>
      <vt:variant>
        <vt:i4>0</vt:i4>
      </vt:variant>
      <vt:variant>
        <vt:i4>0</vt:i4>
      </vt:variant>
      <vt:variant>
        <vt:i4>5</vt:i4>
      </vt:variant>
      <vt:variant>
        <vt:lpwstr>https://nsogbv.mw/survivor/</vt:lpwstr>
      </vt:variant>
      <vt:variant>
        <vt:lpwstr/>
      </vt:variant>
      <vt:variant>
        <vt:i4>2621523</vt:i4>
      </vt:variant>
      <vt:variant>
        <vt:i4>0</vt:i4>
      </vt:variant>
      <vt:variant>
        <vt:i4>0</vt:i4>
      </vt:variant>
      <vt:variant>
        <vt:i4>5</vt:i4>
      </vt:variant>
      <vt:variant>
        <vt:lpwstr>https://www.ansd.sn/sites/default/files/2024-07/RGPH-5_Rapport global-Prov-juillet2024.pdf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Anne-Constance ROSSIGNOL</dc:creator>
  <cp:keywords/>
  <dc:description/>
  <cp:lastModifiedBy>Sophie PECOURT</cp:lastModifiedBy>
  <cp:revision>2</cp:revision>
  <dcterms:created xsi:type="dcterms:W3CDTF">2025-10-31T12:09:00Z</dcterms:created>
  <dcterms:modified xsi:type="dcterms:W3CDTF">2025-10-31T12:09:00Z</dcterms:modified>
</cp:coreProperties>
</file>