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81CEA" w:rsidTr="00E81CEA">
        <w:tc>
          <w:tcPr>
            <w:tcW w:w="4606" w:type="dxa"/>
          </w:tcPr>
          <w:p w:rsidR="00E81CEA" w:rsidRDefault="00E81CEA" w:rsidP="00205DFE">
            <w:pPr>
              <w:spacing w:after="120" w:line="276" w:lineRule="auto"/>
              <w:contextualSpacing/>
              <w:jc w:val="center"/>
              <w:rPr>
                <w:rFonts w:ascii="Arial" w:hAnsi="Arial"/>
                <w:lang w:val="en-US"/>
              </w:rPr>
            </w:pPr>
            <w:r>
              <w:rPr>
                <w:rFonts w:ascii="Arial" w:hAnsi="Arial"/>
                <w:noProof/>
                <w:lang w:val="fr-FR"/>
              </w:rPr>
              <w:drawing>
                <wp:inline distT="0" distB="0" distL="0" distR="0" wp14:anchorId="700FFED8" wp14:editId="30B08D25">
                  <wp:extent cx="1176793" cy="635743"/>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W logo H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8663" cy="636753"/>
                          </a:xfrm>
                          <a:prstGeom prst="rect">
                            <a:avLst/>
                          </a:prstGeom>
                        </pic:spPr>
                      </pic:pic>
                    </a:graphicData>
                  </a:graphic>
                </wp:inline>
              </w:drawing>
            </w:r>
          </w:p>
        </w:tc>
        <w:tc>
          <w:tcPr>
            <w:tcW w:w="4606" w:type="dxa"/>
          </w:tcPr>
          <w:p w:rsidR="00E81CEA" w:rsidRDefault="00E81CEA" w:rsidP="00205DFE">
            <w:pPr>
              <w:spacing w:after="120" w:line="276" w:lineRule="auto"/>
              <w:contextualSpacing/>
              <w:jc w:val="center"/>
              <w:rPr>
                <w:rFonts w:ascii="Arial" w:hAnsi="Arial"/>
                <w:lang w:val="en-US"/>
              </w:rPr>
            </w:pPr>
            <w:r>
              <w:rPr>
                <w:rFonts w:ascii="Arial" w:hAnsi="Arial"/>
                <w:noProof/>
                <w:lang w:val="fr-FR"/>
              </w:rPr>
              <w:drawing>
                <wp:inline distT="0" distB="0" distL="0" distR="0" wp14:anchorId="4E770282" wp14:editId="46A821A6">
                  <wp:extent cx="1459953" cy="529963"/>
                  <wp:effectExtent l="0" t="0" r="6985"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 logo H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0784" cy="533895"/>
                          </a:xfrm>
                          <a:prstGeom prst="rect">
                            <a:avLst/>
                          </a:prstGeom>
                        </pic:spPr>
                      </pic:pic>
                    </a:graphicData>
                  </a:graphic>
                </wp:inline>
              </w:drawing>
            </w:r>
          </w:p>
        </w:tc>
      </w:tr>
    </w:tbl>
    <w:p w:rsidR="00E81CEA" w:rsidRDefault="00E81CEA" w:rsidP="00205DFE">
      <w:pPr>
        <w:spacing w:after="80" w:line="276" w:lineRule="auto"/>
        <w:contextualSpacing/>
        <w:jc w:val="center"/>
        <w:rPr>
          <w:rFonts w:cs="Arial"/>
          <w:b/>
          <w:bCs/>
          <w:color w:val="17365D" w:themeColor="text2" w:themeShade="BF"/>
          <w:sz w:val="28"/>
          <w:szCs w:val="28"/>
        </w:rPr>
      </w:pPr>
    </w:p>
    <w:p w:rsidR="00CF4755" w:rsidRPr="005F733C" w:rsidRDefault="005F733C" w:rsidP="00205DFE">
      <w:pPr>
        <w:spacing w:after="80" w:line="276" w:lineRule="auto"/>
        <w:contextualSpacing/>
        <w:jc w:val="center"/>
        <w:rPr>
          <w:rFonts w:cs="Arial"/>
          <w:b/>
          <w:bCs/>
          <w:color w:val="17365D" w:themeColor="text2" w:themeShade="BF"/>
          <w:sz w:val="28"/>
          <w:szCs w:val="28"/>
          <w:lang w:val="fr-FR"/>
        </w:rPr>
      </w:pPr>
      <w:r>
        <w:rPr>
          <w:rFonts w:cs="Arial"/>
          <w:b/>
          <w:bCs/>
          <w:color w:val="17365D" w:themeColor="text2" w:themeShade="BF"/>
          <w:sz w:val="28"/>
          <w:szCs w:val="28"/>
          <w:lang w:val="fr-FR"/>
        </w:rPr>
        <w:t>QU’</w:t>
      </w:r>
      <w:r w:rsidRPr="005F733C">
        <w:rPr>
          <w:rFonts w:cs="Arial"/>
          <w:b/>
          <w:bCs/>
          <w:color w:val="17365D" w:themeColor="text2" w:themeShade="BF"/>
          <w:sz w:val="28"/>
          <w:szCs w:val="28"/>
          <w:lang w:val="fr-FR"/>
        </w:rPr>
        <w:t>EST CE QUE LA METH</w:t>
      </w:r>
      <w:r>
        <w:rPr>
          <w:rFonts w:cs="Arial"/>
          <w:b/>
          <w:bCs/>
          <w:color w:val="17365D" w:themeColor="text2" w:themeShade="BF"/>
          <w:sz w:val="28"/>
          <w:szCs w:val="28"/>
          <w:lang w:val="fr-FR"/>
        </w:rPr>
        <w:t>O</w:t>
      </w:r>
      <w:r w:rsidRPr="005F733C">
        <w:rPr>
          <w:rFonts w:cs="Arial"/>
          <w:b/>
          <w:bCs/>
          <w:color w:val="17365D" w:themeColor="text2" w:themeShade="BF"/>
          <w:sz w:val="28"/>
          <w:szCs w:val="28"/>
          <w:lang w:val="fr-FR"/>
        </w:rPr>
        <w:t xml:space="preserve">DOLOGIE </w:t>
      </w:r>
      <w:r>
        <w:rPr>
          <w:rFonts w:cs="Arial"/>
          <w:b/>
          <w:bCs/>
          <w:color w:val="17365D" w:themeColor="text2" w:themeShade="BF"/>
          <w:sz w:val="28"/>
          <w:szCs w:val="28"/>
          <w:lang w:val="fr-FR"/>
        </w:rPr>
        <w:t>MAKING</w:t>
      </w:r>
      <w:r w:rsidRPr="005F733C">
        <w:rPr>
          <w:rFonts w:cs="Arial"/>
          <w:b/>
          <w:bCs/>
          <w:color w:val="17365D" w:themeColor="text2" w:themeShade="BF"/>
          <w:sz w:val="28"/>
          <w:szCs w:val="28"/>
          <w:lang w:val="fr-FR"/>
        </w:rPr>
        <w:t xml:space="preserve"> IT WORK</w:t>
      </w:r>
      <w:r w:rsidR="00F056FB" w:rsidRPr="005F733C">
        <w:rPr>
          <w:rFonts w:cs="Arial"/>
          <w:b/>
          <w:bCs/>
          <w:color w:val="17365D" w:themeColor="text2" w:themeShade="BF"/>
          <w:sz w:val="28"/>
          <w:szCs w:val="28"/>
          <w:lang w:val="fr-FR"/>
        </w:rPr>
        <w:t>?</w:t>
      </w:r>
    </w:p>
    <w:p w:rsidR="00CF4755" w:rsidRPr="005F733C" w:rsidRDefault="00CF4755" w:rsidP="00205DFE">
      <w:pPr>
        <w:spacing w:after="80" w:line="276" w:lineRule="auto"/>
        <w:contextualSpacing/>
        <w:jc w:val="both"/>
        <w:rPr>
          <w:rFonts w:cs="Arial"/>
          <w:b/>
          <w:bCs/>
          <w:color w:val="FF0000"/>
          <w:lang w:val="fr-FR"/>
        </w:rPr>
      </w:pPr>
    </w:p>
    <w:p w:rsidR="00CF4755" w:rsidRPr="00A92828" w:rsidRDefault="00205DFE" w:rsidP="00205DFE">
      <w:pPr>
        <w:pStyle w:val="Titre2"/>
        <w:shd w:val="clear" w:color="auto" w:fill="17365D" w:themeFill="text2" w:themeFillShade="BF"/>
        <w:spacing w:line="276" w:lineRule="auto"/>
        <w:contextualSpacing/>
        <w:rPr>
          <w:rFonts w:asciiTheme="minorHAnsi" w:hAnsiTheme="minorHAnsi"/>
          <w:color w:val="FFFFFF" w:themeColor="background1"/>
          <w:sz w:val="24"/>
          <w:szCs w:val="24"/>
          <w:lang w:val="fr-FR"/>
        </w:rPr>
      </w:pPr>
      <w:r w:rsidRPr="005F733C">
        <w:rPr>
          <w:rFonts w:asciiTheme="minorHAnsi" w:hAnsiTheme="minorHAnsi"/>
          <w:color w:val="FFFFFF" w:themeColor="background1"/>
          <w:sz w:val="24"/>
          <w:szCs w:val="24"/>
          <w:lang w:val="fr-FR"/>
        </w:rPr>
        <w:t xml:space="preserve"> </w:t>
      </w:r>
      <w:r w:rsidR="00B80BE8" w:rsidRPr="00A92828">
        <w:rPr>
          <w:rFonts w:asciiTheme="minorHAnsi" w:hAnsiTheme="minorHAnsi"/>
          <w:color w:val="FFFFFF" w:themeColor="background1"/>
          <w:sz w:val="24"/>
          <w:szCs w:val="24"/>
          <w:lang w:val="fr-FR"/>
        </w:rPr>
        <w:t>Introduction</w:t>
      </w:r>
    </w:p>
    <w:p w:rsidR="00CF4755" w:rsidRPr="00A92828" w:rsidRDefault="00CF4755" w:rsidP="00205DFE">
      <w:pPr>
        <w:spacing w:after="80" w:line="276" w:lineRule="auto"/>
        <w:contextualSpacing/>
        <w:jc w:val="both"/>
        <w:rPr>
          <w:rFonts w:cs="Arial"/>
          <w:b/>
          <w:bCs/>
          <w:color w:val="FF0000"/>
          <w:lang w:val="fr-FR"/>
        </w:rPr>
      </w:pPr>
    </w:p>
    <w:p w:rsidR="0073659F" w:rsidRDefault="00F056FB" w:rsidP="00205DFE">
      <w:pPr>
        <w:spacing w:after="80" w:line="276" w:lineRule="auto"/>
        <w:contextualSpacing/>
        <w:jc w:val="both"/>
        <w:rPr>
          <w:rFonts w:cs="Arial"/>
          <w:bCs/>
          <w:szCs w:val="22"/>
          <w:lang w:val="fr-FR"/>
        </w:rPr>
      </w:pPr>
      <w:r w:rsidRPr="0073659F">
        <w:rPr>
          <w:rFonts w:cs="Arial"/>
          <w:bCs/>
          <w:szCs w:val="22"/>
          <w:lang w:val="fr-FR"/>
        </w:rPr>
        <w:t>Making It Work</w:t>
      </w:r>
      <w:r w:rsidR="005C01FE">
        <w:rPr>
          <w:rFonts w:cs="Arial"/>
          <w:bCs/>
          <w:szCs w:val="22"/>
          <w:lang w:val="fr-FR"/>
        </w:rPr>
        <w:t xml:space="preserve"> (MIW) </w:t>
      </w:r>
      <w:r w:rsidRPr="0073659F">
        <w:rPr>
          <w:rFonts w:cs="Arial"/>
          <w:bCs/>
          <w:szCs w:val="22"/>
          <w:lang w:val="fr-FR"/>
        </w:rPr>
        <w:t xml:space="preserve"> </w:t>
      </w:r>
      <w:r w:rsidR="0073659F" w:rsidRPr="0073659F">
        <w:rPr>
          <w:rFonts w:cs="Arial"/>
          <w:bCs/>
          <w:szCs w:val="22"/>
          <w:lang w:val="fr-FR"/>
        </w:rPr>
        <w:t xml:space="preserve">est une initiative de Handicap International mise en place en 2009 après l’adoption </w:t>
      </w:r>
      <w:r w:rsidR="0073659F">
        <w:rPr>
          <w:rFonts w:cs="Arial"/>
          <w:bCs/>
          <w:szCs w:val="22"/>
          <w:lang w:val="fr-FR"/>
        </w:rPr>
        <w:t>de la Convention relatives aux D</w:t>
      </w:r>
      <w:r w:rsidR="0073659F" w:rsidRPr="0073659F">
        <w:rPr>
          <w:rFonts w:cs="Arial"/>
          <w:bCs/>
          <w:szCs w:val="22"/>
          <w:lang w:val="fr-FR"/>
        </w:rPr>
        <w:t>roits des Per</w:t>
      </w:r>
      <w:r w:rsidR="0073659F">
        <w:rPr>
          <w:rFonts w:cs="Arial"/>
          <w:bCs/>
          <w:szCs w:val="22"/>
          <w:lang w:val="fr-FR"/>
        </w:rPr>
        <w:t>so</w:t>
      </w:r>
      <w:r w:rsidR="0073659F" w:rsidRPr="0073659F">
        <w:rPr>
          <w:rFonts w:cs="Arial"/>
          <w:bCs/>
          <w:szCs w:val="22"/>
          <w:lang w:val="fr-FR"/>
        </w:rPr>
        <w:t xml:space="preserve">nnes </w:t>
      </w:r>
      <w:r w:rsidR="0073659F">
        <w:rPr>
          <w:rFonts w:cs="Arial"/>
          <w:bCs/>
          <w:szCs w:val="22"/>
          <w:lang w:val="fr-FR"/>
        </w:rPr>
        <w:t>Handicapées</w:t>
      </w:r>
      <w:r w:rsidR="005C01FE">
        <w:rPr>
          <w:rFonts w:cs="Arial"/>
          <w:bCs/>
          <w:szCs w:val="22"/>
          <w:lang w:val="fr-FR"/>
        </w:rPr>
        <w:t xml:space="preserve"> (CDPH)</w:t>
      </w:r>
      <w:r w:rsidR="0073659F">
        <w:rPr>
          <w:rFonts w:cs="Arial"/>
          <w:bCs/>
          <w:szCs w:val="22"/>
          <w:lang w:val="fr-FR"/>
        </w:rPr>
        <w:t>, pour fournir aux Etats des exemples concrets de bonnes pratiques en termes de développement inclusif.</w:t>
      </w:r>
      <w:r w:rsidR="00410025">
        <w:rPr>
          <w:rFonts w:cs="Arial"/>
          <w:bCs/>
          <w:szCs w:val="22"/>
          <w:lang w:val="fr-FR"/>
        </w:rPr>
        <w:t xml:space="preserve"> Cette initiative se base sur l’utilisation d’une méthodologie créée pour documenter de bonnes pratiques, qui a été testée à tous les niveaux (local, national, régional, et international) sur une variété de sujets (éducation, santé, emploi, réduction des risques, etc.)</w:t>
      </w:r>
      <w:r w:rsidR="005C01FE">
        <w:rPr>
          <w:rFonts w:cs="Arial"/>
          <w:bCs/>
          <w:szCs w:val="22"/>
          <w:lang w:val="fr-FR"/>
        </w:rPr>
        <w:t xml:space="preserve"> dans plus de 40 pays à travers le monde.</w:t>
      </w:r>
    </w:p>
    <w:p w:rsidR="0004181A" w:rsidRDefault="0004181A" w:rsidP="00205DFE">
      <w:pPr>
        <w:spacing w:after="80" w:line="276" w:lineRule="auto"/>
        <w:contextualSpacing/>
        <w:jc w:val="both"/>
        <w:rPr>
          <w:rFonts w:cs="Arial"/>
          <w:bCs/>
          <w:szCs w:val="22"/>
          <w:lang w:val="fr-FR"/>
        </w:rPr>
      </w:pPr>
      <w:bookmarkStart w:id="0" w:name="_GoBack"/>
      <w:bookmarkEnd w:id="0"/>
    </w:p>
    <w:p w:rsidR="005C01FE" w:rsidRPr="005C01FE" w:rsidRDefault="005C01FE" w:rsidP="00205DFE">
      <w:pPr>
        <w:spacing w:after="80" w:line="276" w:lineRule="auto"/>
        <w:contextualSpacing/>
        <w:jc w:val="both"/>
        <w:rPr>
          <w:rFonts w:cs="Arial"/>
          <w:bCs/>
          <w:szCs w:val="22"/>
          <w:lang w:val="fr-FR"/>
        </w:rPr>
      </w:pPr>
      <w:r w:rsidRPr="005C01FE">
        <w:rPr>
          <w:rFonts w:cs="Arial"/>
          <w:bCs/>
          <w:szCs w:val="22"/>
          <w:lang w:val="fr-FR"/>
        </w:rPr>
        <w:t>La méthodo</w:t>
      </w:r>
      <w:r>
        <w:rPr>
          <w:rFonts w:cs="Arial"/>
          <w:bCs/>
          <w:szCs w:val="22"/>
          <w:lang w:val="fr-FR"/>
        </w:rPr>
        <w:t>logie MIW propose un ensemble d’</w:t>
      </w:r>
      <w:r w:rsidRPr="005C01FE">
        <w:rPr>
          <w:rFonts w:cs="Arial"/>
          <w:bCs/>
          <w:szCs w:val="22"/>
          <w:lang w:val="fr-FR"/>
        </w:rPr>
        <w:t xml:space="preserve">outils pour guider les </w:t>
      </w:r>
      <w:r>
        <w:rPr>
          <w:rFonts w:cs="Arial"/>
          <w:bCs/>
          <w:szCs w:val="22"/>
          <w:lang w:val="fr-FR"/>
        </w:rPr>
        <w:t xml:space="preserve">organisations dans l’identification, la documentation, et l’analyse de bonnes pratiques qui contribuent à la promotion des droits figurant dans la CDPH, tels que le droit à l’éducation. Les bonnes pratiques collectées </w:t>
      </w:r>
      <w:r w:rsidR="00734574">
        <w:rPr>
          <w:rFonts w:cs="Arial"/>
          <w:bCs/>
          <w:szCs w:val="22"/>
          <w:lang w:val="fr-FR"/>
        </w:rPr>
        <w:t xml:space="preserve">sont ensuite utilisées pour soutenir divers acteurs, </w:t>
      </w:r>
      <w:r>
        <w:rPr>
          <w:rFonts w:cs="Arial"/>
          <w:bCs/>
          <w:szCs w:val="22"/>
          <w:lang w:val="fr-FR"/>
        </w:rPr>
        <w:t xml:space="preserve"> </w:t>
      </w:r>
      <w:r w:rsidR="0004181A">
        <w:rPr>
          <w:rFonts w:cs="Arial"/>
          <w:bCs/>
          <w:szCs w:val="22"/>
          <w:lang w:val="fr-FR"/>
        </w:rPr>
        <w:t>prestataires de services, et membres de la communauté dans l’évolution de leurs attitudes et pratiques, afin de devenir plus accessibles et inclusifs des personnes handicapées.</w:t>
      </w:r>
    </w:p>
    <w:p w:rsidR="00205DFE" w:rsidRDefault="00205DFE" w:rsidP="00205DFE">
      <w:pPr>
        <w:spacing w:after="80" w:line="276" w:lineRule="auto"/>
        <w:contextualSpacing/>
        <w:jc w:val="both"/>
        <w:rPr>
          <w:rFonts w:cs="Arial"/>
          <w:bCs/>
          <w:szCs w:val="22"/>
          <w:lang w:val="fr-FR"/>
        </w:rPr>
      </w:pPr>
    </w:p>
    <w:p w:rsidR="0004181A" w:rsidRDefault="009F0AC4" w:rsidP="00205DFE">
      <w:pPr>
        <w:spacing w:after="80" w:line="276" w:lineRule="auto"/>
        <w:contextualSpacing/>
        <w:jc w:val="both"/>
        <w:rPr>
          <w:rFonts w:cs="Arial"/>
          <w:bCs/>
          <w:szCs w:val="22"/>
          <w:lang w:val="fr-FR"/>
        </w:rPr>
      </w:pPr>
      <w:r>
        <w:rPr>
          <w:rFonts w:cs="Arial"/>
          <w:bCs/>
          <w:szCs w:val="22"/>
          <w:lang w:val="fr-FR"/>
        </w:rPr>
        <w:t>Ainsi, cette méthodologie</w:t>
      </w:r>
      <w:r w:rsidR="00AF22EA">
        <w:rPr>
          <w:rFonts w:cs="Arial"/>
          <w:bCs/>
          <w:szCs w:val="22"/>
          <w:lang w:val="fr-FR"/>
        </w:rPr>
        <w:t xml:space="preserve"> encourage des acteurs clés à </w:t>
      </w:r>
      <w:r w:rsidR="00804BEA">
        <w:rPr>
          <w:rFonts w:cs="Arial"/>
          <w:bCs/>
          <w:szCs w:val="22"/>
          <w:lang w:val="fr-FR"/>
        </w:rPr>
        <w:t xml:space="preserve">capitaliser </w:t>
      </w:r>
      <w:r w:rsidR="005B78F8">
        <w:rPr>
          <w:rFonts w:cs="Arial"/>
          <w:bCs/>
          <w:szCs w:val="22"/>
          <w:lang w:val="fr-FR"/>
        </w:rPr>
        <w:t>sur les changements importants ayant été observés, afin d’augmenter leur impact. Elle met l’accent sur l’implication de la société civile et des personnes handicapées spécifiquement, à travers ses 3 étapes principales.</w:t>
      </w:r>
    </w:p>
    <w:p w:rsidR="0004181A" w:rsidRDefault="0004181A" w:rsidP="00205DFE">
      <w:pPr>
        <w:spacing w:after="80" w:line="276" w:lineRule="auto"/>
        <w:contextualSpacing/>
        <w:jc w:val="both"/>
        <w:rPr>
          <w:rFonts w:cs="Arial"/>
          <w:bCs/>
          <w:szCs w:val="22"/>
          <w:lang w:val="fr-FR"/>
        </w:rPr>
      </w:pPr>
    </w:p>
    <w:p w:rsidR="005B78F8" w:rsidRDefault="005B78F8" w:rsidP="00205DFE">
      <w:pPr>
        <w:spacing w:after="80" w:line="276" w:lineRule="auto"/>
        <w:contextualSpacing/>
        <w:jc w:val="both"/>
        <w:rPr>
          <w:rFonts w:cs="Arial"/>
          <w:bCs/>
          <w:szCs w:val="22"/>
          <w:lang w:val="fr-FR"/>
        </w:rPr>
      </w:pPr>
      <w:r>
        <w:rPr>
          <w:rFonts w:cs="Arial"/>
          <w:bCs/>
          <w:szCs w:val="22"/>
          <w:lang w:val="fr-FR"/>
        </w:rPr>
        <w:t>Cette méthodologie est utilisable dans divers secteurs, et peut être mise en œuvre à travers une collaboration entre des acteurs</w:t>
      </w:r>
      <w:r w:rsidR="00C769C4">
        <w:rPr>
          <w:rFonts w:cs="Arial"/>
          <w:bCs/>
          <w:szCs w:val="22"/>
          <w:lang w:val="fr-FR"/>
        </w:rPr>
        <w:t xml:space="preserve"> clés, dans laquelle les personnes handicapées et leurs organisations représentatives jouent un rôle essentiel. Tous les acteurs impliqués définissent les changements qu’ils souhaitent générer. </w:t>
      </w:r>
    </w:p>
    <w:p w:rsidR="00C769C4" w:rsidRDefault="00C769C4" w:rsidP="00205DFE">
      <w:pPr>
        <w:spacing w:after="80" w:line="276" w:lineRule="auto"/>
        <w:contextualSpacing/>
        <w:jc w:val="both"/>
        <w:rPr>
          <w:rFonts w:cs="Arial"/>
          <w:bCs/>
          <w:szCs w:val="22"/>
          <w:lang w:val="fr-FR"/>
        </w:rPr>
      </w:pPr>
    </w:p>
    <w:p w:rsidR="00C769C4" w:rsidRDefault="00C769C4" w:rsidP="00205DFE">
      <w:pPr>
        <w:spacing w:after="80" w:line="276" w:lineRule="auto"/>
        <w:contextualSpacing/>
        <w:jc w:val="both"/>
        <w:rPr>
          <w:rFonts w:cs="Arial"/>
          <w:bCs/>
          <w:szCs w:val="22"/>
          <w:lang w:val="fr-FR"/>
        </w:rPr>
      </w:pPr>
      <w:r>
        <w:rPr>
          <w:rFonts w:cs="Arial"/>
          <w:bCs/>
          <w:szCs w:val="22"/>
          <w:lang w:val="fr-FR"/>
        </w:rPr>
        <w:t>En se basant sur les recommandations tirées des bonnes pratiques, et développées de manière collaborative, les actions peuvent être :</w:t>
      </w:r>
    </w:p>
    <w:p w:rsidR="00C769C4" w:rsidRDefault="00C769C4" w:rsidP="00C769C4">
      <w:pPr>
        <w:pStyle w:val="Paragraphedeliste"/>
        <w:numPr>
          <w:ilvl w:val="0"/>
          <w:numId w:val="16"/>
        </w:numPr>
        <w:spacing w:after="80"/>
        <w:jc w:val="both"/>
        <w:rPr>
          <w:rFonts w:cs="Arial"/>
          <w:bCs/>
        </w:rPr>
      </w:pPr>
      <w:r>
        <w:rPr>
          <w:rFonts w:cs="Arial"/>
          <w:bCs/>
        </w:rPr>
        <w:t>Des actions d’information et plaidoyer pour améliorer l’accès aux services, ou influencer les politiques publiques en présentant des exemples concrets d’inclusion.</w:t>
      </w:r>
    </w:p>
    <w:p w:rsidR="00F056FB" w:rsidRPr="00C769C4" w:rsidRDefault="00C769C4" w:rsidP="00C769C4">
      <w:pPr>
        <w:pStyle w:val="Paragraphedeliste"/>
        <w:numPr>
          <w:ilvl w:val="0"/>
          <w:numId w:val="16"/>
        </w:numPr>
        <w:jc w:val="both"/>
        <w:rPr>
          <w:rFonts w:eastAsiaTheme="majorEastAsia" w:cstheme="majorBidi"/>
          <w:b/>
          <w:bCs/>
          <w:color w:val="FFFFFF" w:themeColor="background1"/>
          <w:sz w:val="24"/>
        </w:rPr>
      </w:pPr>
      <w:r w:rsidRPr="00C769C4">
        <w:rPr>
          <w:rFonts w:cs="Arial"/>
          <w:bCs/>
        </w:rPr>
        <w:t xml:space="preserve">Réplication et mise à l’échelle de bonnes pratiques dans les localités voisines, par exemple dans un autre </w:t>
      </w:r>
      <w:r w:rsidR="00E362A7" w:rsidRPr="00C769C4">
        <w:rPr>
          <w:rFonts w:cs="Arial"/>
          <w:bCs/>
        </w:rPr>
        <w:t>district</w:t>
      </w:r>
      <w:r w:rsidRPr="00C769C4">
        <w:rPr>
          <w:rFonts w:cs="Arial"/>
          <w:bCs/>
        </w:rPr>
        <w:t xml:space="preserve">. </w:t>
      </w:r>
      <w:r w:rsidR="00F056FB" w:rsidRPr="00C769C4">
        <w:rPr>
          <w:color w:val="FFFFFF" w:themeColor="background1"/>
          <w:sz w:val="24"/>
        </w:rPr>
        <w:br w:type="page"/>
      </w:r>
    </w:p>
    <w:p w:rsidR="00CF4755" w:rsidRPr="00205DFE" w:rsidRDefault="004F2C40" w:rsidP="00205DFE">
      <w:pPr>
        <w:pStyle w:val="Titre2"/>
        <w:shd w:val="clear" w:color="auto" w:fill="17365D" w:themeFill="text2" w:themeFillShade="BF"/>
        <w:spacing w:line="276" w:lineRule="auto"/>
        <w:contextualSpacing/>
        <w:rPr>
          <w:rFonts w:asciiTheme="minorHAnsi" w:hAnsiTheme="minorHAnsi"/>
          <w:color w:val="FFFFFF" w:themeColor="background1"/>
          <w:sz w:val="24"/>
          <w:szCs w:val="24"/>
        </w:rPr>
      </w:pPr>
      <w:r w:rsidRPr="00A92828">
        <w:rPr>
          <w:rFonts w:asciiTheme="minorHAnsi" w:hAnsiTheme="minorHAnsi"/>
          <w:color w:val="FFFFFF" w:themeColor="background1"/>
          <w:sz w:val="24"/>
          <w:szCs w:val="24"/>
          <w:lang w:val="fr-FR"/>
        </w:rPr>
        <w:lastRenderedPageBreak/>
        <w:t xml:space="preserve"> </w:t>
      </w:r>
      <w:r w:rsidR="00C769C4">
        <w:rPr>
          <w:rFonts w:asciiTheme="minorHAnsi" w:hAnsiTheme="minorHAnsi"/>
          <w:color w:val="FFFFFF" w:themeColor="background1"/>
          <w:sz w:val="24"/>
          <w:szCs w:val="24"/>
        </w:rPr>
        <w:t xml:space="preserve">Le </w:t>
      </w:r>
      <w:proofErr w:type="spellStart"/>
      <w:r w:rsidR="00C769C4">
        <w:rPr>
          <w:rFonts w:asciiTheme="minorHAnsi" w:hAnsiTheme="minorHAnsi"/>
          <w:color w:val="FFFFFF" w:themeColor="background1"/>
          <w:sz w:val="24"/>
          <w:szCs w:val="24"/>
        </w:rPr>
        <w:t>processus</w:t>
      </w:r>
      <w:proofErr w:type="spellEnd"/>
      <w:r w:rsidR="00C769C4">
        <w:rPr>
          <w:rFonts w:asciiTheme="minorHAnsi" w:hAnsiTheme="minorHAnsi"/>
          <w:color w:val="FFFFFF" w:themeColor="background1"/>
          <w:sz w:val="24"/>
          <w:szCs w:val="24"/>
        </w:rPr>
        <w:t xml:space="preserve"> </w:t>
      </w:r>
      <w:r w:rsidR="00CF4755" w:rsidRPr="00205DFE">
        <w:rPr>
          <w:rFonts w:asciiTheme="minorHAnsi" w:hAnsiTheme="minorHAnsi"/>
          <w:color w:val="FFFFFF" w:themeColor="background1"/>
          <w:sz w:val="24"/>
          <w:szCs w:val="24"/>
        </w:rPr>
        <w:t>M</w:t>
      </w:r>
      <w:r w:rsidR="000052B9">
        <w:rPr>
          <w:rFonts w:asciiTheme="minorHAnsi" w:hAnsiTheme="minorHAnsi"/>
          <w:color w:val="FFFFFF" w:themeColor="background1"/>
          <w:sz w:val="24"/>
          <w:szCs w:val="24"/>
        </w:rPr>
        <w:t xml:space="preserve">aking </w:t>
      </w:r>
      <w:r w:rsidR="00CF4755" w:rsidRPr="00205DFE">
        <w:rPr>
          <w:rFonts w:asciiTheme="minorHAnsi" w:hAnsiTheme="minorHAnsi"/>
          <w:color w:val="FFFFFF" w:themeColor="background1"/>
          <w:sz w:val="24"/>
          <w:szCs w:val="24"/>
        </w:rPr>
        <w:t>I</w:t>
      </w:r>
      <w:r w:rsidR="000052B9">
        <w:rPr>
          <w:rFonts w:asciiTheme="minorHAnsi" w:hAnsiTheme="minorHAnsi"/>
          <w:color w:val="FFFFFF" w:themeColor="background1"/>
          <w:sz w:val="24"/>
          <w:szCs w:val="24"/>
        </w:rPr>
        <w:t xml:space="preserve">t </w:t>
      </w:r>
      <w:r w:rsidR="00CF4755" w:rsidRPr="00205DFE">
        <w:rPr>
          <w:rFonts w:asciiTheme="minorHAnsi" w:hAnsiTheme="minorHAnsi"/>
          <w:color w:val="FFFFFF" w:themeColor="background1"/>
          <w:sz w:val="24"/>
          <w:szCs w:val="24"/>
        </w:rPr>
        <w:t>W</w:t>
      </w:r>
      <w:r w:rsidR="000052B9">
        <w:rPr>
          <w:rFonts w:asciiTheme="minorHAnsi" w:hAnsiTheme="minorHAnsi"/>
          <w:color w:val="FFFFFF" w:themeColor="background1"/>
          <w:sz w:val="24"/>
          <w:szCs w:val="24"/>
        </w:rPr>
        <w:t>ork</w:t>
      </w:r>
    </w:p>
    <w:p w:rsidR="00B80BE8" w:rsidRPr="005C4CB4" w:rsidRDefault="00B80BE8" w:rsidP="00205DFE">
      <w:pPr>
        <w:spacing w:after="80" w:line="276" w:lineRule="auto"/>
        <w:contextualSpacing/>
        <w:jc w:val="both"/>
        <w:rPr>
          <w:rFonts w:cs="Arial"/>
          <w:b/>
          <w:bCs/>
        </w:rPr>
      </w:pPr>
    </w:p>
    <w:p w:rsidR="00B80BE8" w:rsidRPr="00502F47" w:rsidRDefault="00C769C4" w:rsidP="00205DFE">
      <w:pPr>
        <w:spacing w:after="80" w:line="276" w:lineRule="auto"/>
        <w:contextualSpacing/>
        <w:jc w:val="both"/>
        <w:rPr>
          <w:rFonts w:cs="Arial"/>
        </w:rPr>
      </w:pPr>
      <w:r>
        <w:rPr>
          <w:rFonts w:cs="Arial"/>
          <w:noProof/>
          <w:lang w:val="fr-FR"/>
        </w:rPr>
        <w:drawing>
          <wp:inline distT="0" distB="0" distL="0" distR="0">
            <wp:extent cx="5611008" cy="4134427"/>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us MIW français.png"/>
                    <pic:cNvPicPr/>
                  </pic:nvPicPr>
                  <pic:blipFill>
                    <a:blip r:embed="rId10">
                      <a:extLst>
                        <a:ext uri="{28A0092B-C50C-407E-A947-70E740481C1C}">
                          <a14:useLocalDpi xmlns:a14="http://schemas.microsoft.com/office/drawing/2010/main" val="0"/>
                        </a:ext>
                      </a:extLst>
                    </a:blip>
                    <a:stretch>
                      <a:fillRect/>
                    </a:stretch>
                  </pic:blipFill>
                  <pic:spPr>
                    <a:xfrm>
                      <a:off x="0" y="0"/>
                      <a:ext cx="5611008" cy="4134427"/>
                    </a:xfrm>
                    <a:prstGeom prst="rect">
                      <a:avLst/>
                    </a:prstGeom>
                  </pic:spPr>
                </pic:pic>
              </a:graphicData>
            </a:graphic>
          </wp:inline>
        </w:drawing>
      </w:r>
    </w:p>
    <w:p w:rsidR="00CF4755" w:rsidRDefault="00CF4755" w:rsidP="00205DFE">
      <w:pPr>
        <w:spacing w:after="80" w:line="276" w:lineRule="auto"/>
        <w:contextualSpacing/>
        <w:jc w:val="both"/>
        <w:rPr>
          <w:rFonts w:cs="Arial"/>
          <w:bCs/>
          <w:szCs w:val="22"/>
        </w:rPr>
      </w:pPr>
    </w:p>
    <w:p w:rsidR="00B80BE8" w:rsidRPr="00C769C4" w:rsidRDefault="00C769C4" w:rsidP="00205DFE">
      <w:pPr>
        <w:spacing w:after="80" w:line="276" w:lineRule="auto"/>
        <w:contextualSpacing/>
        <w:jc w:val="both"/>
        <w:rPr>
          <w:rFonts w:cs="Arial"/>
          <w:color w:val="17365D" w:themeColor="text2" w:themeShade="BF"/>
          <w:lang w:val="fr-FR"/>
        </w:rPr>
      </w:pPr>
      <w:r w:rsidRPr="00C769C4">
        <w:rPr>
          <w:rFonts w:cs="Arial"/>
          <w:b/>
          <w:color w:val="17365D" w:themeColor="text2" w:themeShade="BF"/>
          <w:lang w:val="fr-FR"/>
        </w:rPr>
        <w:t>Etape</w:t>
      </w:r>
      <w:r w:rsidR="00B80BE8" w:rsidRPr="00C769C4">
        <w:rPr>
          <w:rFonts w:cs="Arial"/>
          <w:b/>
          <w:color w:val="17365D" w:themeColor="text2" w:themeShade="BF"/>
          <w:lang w:val="fr-FR"/>
        </w:rPr>
        <w:t xml:space="preserve"> 1 </w:t>
      </w:r>
      <w:r w:rsidRPr="00C769C4">
        <w:rPr>
          <w:rFonts w:cs="Arial"/>
          <w:b/>
          <w:color w:val="17365D" w:themeColor="text2" w:themeShade="BF"/>
          <w:lang w:val="fr-FR"/>
        </w:rPr>
        <w:t>–</w:t>
      </w:r>
      <w:r w:rsidR="00B80BE8" w:rsidRPr="00C769C4">
        <w:rPr>
          <w:rFonts w:cs="Arial"/>
          <w:b/>
          <w:color w:val="17365D" w:themeColor="text2" w:themeShade="BF"/>
          <w:lang w:val="fr-FR"/>
        </w:rPr>
        <w:t xml:space="preserve"> </w:t>
      </w:r>
      <w:r>
        <w:rPr>
          <w:rFonts w:cs="Arial"/>
          <w:b/>
          <w:color w:val="17365D" w:themeColor="text2" w:themeShade="BF"/>
          <w:lang w:val="fr-FR"/>
        </w:rPr>
        <w:t>Créer</w:t>
      </w:r>
      <w:r w:rsidRPr="00C769C4">
        <w:rPr>
          <w:rFonts w:cs="Arial"/>
          <w:b/>
          <w:color w:val="17365D" w:themeColor="text2" w:themeShade="BF"/>
          <w:lang w:val="fr-FR"/>
        </w:rPr>
        <w:t xml:space="preserve"> un engagement multi-acteur</w:t>
      </w:r>
      <w:r w:rsidR="00B80BE8" w:rsidRPr="00C769C4">
        <w:rPr>
          <w:rFonts w:cs="Arial"/>
          <w:color w:val="17365D" w:themeColor="text2" w:themeShade="BF"/>
          <w:lang w:val="fr-FR"/>
        </w:rPr>
        <w:t xml:space="preserve"> </w:t>
      </w:r>
    </w:p>
    <w:p w:rsidR="00C769C4" w:rsidRPr="00C769C4" w:rsidRDefault="00C769C4" w:rsidP="00205DFE">
      <w:pPr>
        <w:pStyle w:val="Paragraphedeliste"/>
        <w:numPr>
          <w:ilvl w:val="0"/>
          <w:numId w:val="8"/>
        </w:numPr>
        <w:tabs>
          <w:tab w:val="left" w:pos="1133"/>
        </w:tabs>
        <w:spacing w:after="80"/>
        <w:jc w:val="both"/>
        <w:rPr>
          <w:rFonts w:cs="Arial"/>
        </w:rPr>
      </w:pPr>
      <w:r w:rsidRPr="00C769C4">
        <w:rPr>
          <w:rFonts w:cs="Arial"/>
        </w:rPr>
        <w:t>Sélectionner les acteurs appropriés pour participer à vos actions.</w:t>
      </w:r>
    </w:p>
    <w:p w:rsidR="00C769C4" w:rsidRDefault="00C769C4" w:rsidP="00205DFE">
      <w:pPr>
        <w:pStyle w:val="Paragraphedeliste"/>
        <w:numPr>
          <w:ilvl w:val="0"/>
          <w:numId w:val="8"/>
        </w:numPr>
        <w:tabs>
          <w:tab w:val="left" w:pos="1133"/>
        </w:tabs>
        <w:spacing w:after="80"/>
        <w:jc w:val="both"/>
        <w:rPr>
          <w:rFonts w:cs="Arial"/>
        </w:rPr>
      </w:pPr>
      <w:r>
        <w:rPr>
          <w:rFonts w:cs="Arial"/>
        </w:rPr>
        <w:t>Définir le type de collaboration multi-acteurs que vous souhaitez.</w:t>
      </w:r>
    </w:p>
    <w:p w:rsidR="00C769C4" w:rsidRDefault="00C769C4" w:rsidP="00205DFE">
      <w:pPr>
        <w:pStyle w:val="Paragraphedeliste"/>
        <w:numPr>
          <w:ilvl w:val="0"/>
          <w:numId w:val="8"/>
        </w:numPr>
        <w:tabs>
          <w:tab w:val="left" w:pos="1133"/>
        </w:tabs>
        <w:spacing w:after="80"/>
        <w:jc w:val="both"/>
        <w:rPr>
          <w:rFonts w:cs="Arial"/>
        </w:rPr>
      </w:pPr>
      <w:r>
        <w:rPr>
          <w:rFonts w:cs="Arial"/>
        </w:rPr>
        <w:t>Définir les rôles de chaque personne impliquée dans le comité multi-acteurs.</w:t>
      </w:r>
    </w:p>
    <w:p w:rsidR="00C769C4" w:rsidRPr="00C769C4" w:rsidRDefault="00C769C4" w:rsidP="00205DFE">
      <w:pPr>
        <w:pStyle w:val="Paragraphedeliste"/>
        <w:numPr>
          <w:ilvl w:val="0"/>
          <w:numId w:val="8"/>
        </w:numPr>
        <w:tabs>
          <w:tab w:val="left" w:pos="1133"/>
        </w:tabs>
        <w:spacing w:after="80"/>
        <w:jc w:val="both"/>
        <w:rPr>
          <w:rFonts w:cs="Arial"/>
        </w:rPr>
      </w:pPr>
      <w:r>
        <w:rPr>
          <w:rFonts w:cs="Arial"/>
        </w:rPr>
        <w:t>Définir la manière dont votre travail sera organisé, par exemple à travers le développement de Termes de Référence ou autre règle qui faciliterait l’organisation du travail.</w:t>
      </w:r>
    </w:p>
    <w:p w:rsidR="007F59B4" w:rsidRPr="00A92828" w:rsidRDefault="007F59B4" w:rsidP="00C769C4">
      <w:pPr>
        <w:pStyle w:val="Paragraphedeliste"/>
        <w:tabs>
          <w:tab w:val="left" w:pos="1133"/>
        </w:tabs>
        <w:spacing w:after="80"/>
        <w:jc w:val="both"/>
        <w:rPr>
          <w:rFonts w:cs="Arial"/>
        </w:rPr>
      </w:pPr>
    </w:p>
    <w:tbl>
      <w:tblPr>
        <w:tblStyle w:val="Grilledutableau"/>
        <w:tblW w:w="0" w:type="auto"/>
        <w:tblInd w:w="-34" w:type="dxa"/>
        <w:tblLook w:val="04A0" w:firstRow="1" w:lastRow="0" w:firstColumn="1" w:lastColumn="0" w:noHBand="0" w:noVBand="1"/>
      </w:tblPr>
      <w:tblGrid>
        <w:gridCol w:w="9246"/>
      </w:tblGrid>
      <w:tr w:rsidR="00A55C4F" w:rsidRPr="00A92828" w:rsidTr="004F2C40">
        <w:tc>
          <w:tcPr>
            <w:tcW w:w="9246" w:type="dxa"/>
          </w:tcPr>
          <w:p w:rsidR="00A55C4F" w:rsidRPr="00C769C4" w:rsidRDefault="00A55C4F" w:rsidP="00A55C4F">
            <w:pPr>
              <w:tabs>
                <w:tab w:val="left" w:pos="1133"/>
              </w:tabs>
              <w:spacing w:after="80"/>
              <w:jc w:val="both"/>
              <w:rPr>
                <w:rFonts w:cs="Arial"/>
                <w:lang w:val="fr-FR"/>
              </w:rPr>
            </w:pPr>
            <w:r w:rsidRPr="00C769C4">
              <w:rPr>
                <w:rFonts w:cs="Arial"/>
                <w:u w:val="single"/>
                <w:lang w:val="fr-FR"/>
              </w:rPr>
              <w:t>Ex</w:t>
            </w:r>
            <w:r w:rsidR="00C769C4" w:rsidRPr="00C769C4">
              <w:rPr>
                <w:rFonts w:cs="Arial"/>
                <w:u w:val="single"/>
                <w:lang w:val="fr-FR"/>
              </w:rPr>
              <w:t>e</w:t>
            </w:r>
            <w:r w:rsidRPr="00C769C4">
              <w:rPr>
                <w:rFonts w:cs="Arial"/>
                <w:u w:val="single"/>
                <w:lang w:val="fr-FR"/>
              </w:rPr>
              <w:t>mple</w:t>
            </w:r>
          </w:p>
          <w:p w:rsidR="00A55C4F" w:rsidRPr="00B84353" w:rsidRDefault="00C769C4" w:rsidP="004F2C40">
            <w:pPr>
              <w:jc w:val="both"/>
              <w:rPr>
                <w:rFonts w:cs="Arial"/>
                <w:lang w:val="fr-FR"/>
              </w:rPr>
            </w:pPr>
            <w:r w:rsidRPr="00C769C4">
              <w:rPr>
                <w:rFonts w:cs="Arial"/>
                <w:lang w:val="fr-FR"/>
              </w:rPr>
              <w:t xml:space="preserve">Dans une rapide collecte de bonnes pratiques sur l’accès </w:t>
            </w:r>
            <w:r>
              <w:rPr>
                <w:rFonts w:cs="Arial"/>
                <w:lang w:val="fr-FR"/>
              </w:rPr>
              <w:t xml:space="preserve">à la prévention et </w:t>
            </w:r>
            <w:r w:rsidRPr="00C769C4">
              <w:rPr>
                <w:rFonts w:cs="Arial"/>
                <w:lang w:val="fr-FR"/>
              </w:rPr>
              <w:t>aux traitement</w:t>
            </w:r>
            <w:r>
              <w:rPr>
                <w:rFonts w:cs="Arial"/>
                <w:lang w:val="fr-FR"/>
              </w:rPr>
              <w:t xml:space="preserve">s </w:t>
            </w:r>
            <w:r w:rsidRPr="00C769C4">
              <w:rPr>
                <w:rFonts w:cs="Arial"/>
                <w:lang w:val="fr-FR"/>
              </w:rPr>
              <w:t xml:space="preserve">du VIH </w:t>
            </w:r>
            <w:r w:rsidR="00B84353">
              <w:rPr>
                <w:rFonts w:cs="Arial"/>
                <w:lang w:val="fr-FR"/>
              </w:rPr>
              <w:t xml:space="preserve">à </w:t>
            </w:r>
            <w:proofErr w:type="spellStart"/>
            <w:r w:rsidR="00B84353">
              <w:rPr>
                <w:rFonts w:cs="Arial"/>
                <w:lang w:val="fr-FR"/>
              </w:rPr>
              <w:t>Addis</w:t>
            </w:r>
            <w:proofErr w:type="spellEnd"/>
            <w:r w:rsidR="00B84353">
              <w:rPr>
                <w:rFonts w:cs="Arial"/>
                <w:lang w:val="fr-FR"/>
              </w:rPr>
              <w:t xml:space="preserve"> </w:t>
            </w:r>
            <w:proofErr w:type="spellStart"/>
            <w:r w:rsidR="00B84353">
              <w:rPr>
                <w:rFonts w:cs="Arial"/>
                <w:lang w:val="fr-FR"/>
              </w:rPr>
              <w:t>Abeba</w:t>
            </w:r>
            <w:proofErr w:type="spellEnd"/>
            <w:r w:rsidR="00B84353">
              <w:rPr>
                <w:rFonts w:cs="Arial"/>
                <w:lang w:val="fr-FR"/>
              </w:rPr>
              <w:t xml:space="preserve"> (Ethiopie), l’engagement multi-acteurs a été créé en rassemblant divers OPH et ONG travaillant sur la prévention et le traitement du VIH. Le groupe a formé un comité multi-acteurs pour guider le processus MIW et élaborer une stratégie collaborative menant au développement </w:t>
            </w:r>
            <w:proofErr w:type="gramStart"/>
            <w:r w:rsidR="00B84353">
              <w:rPr>
                <w:rFonts w:cs="Arial"/>
                <w:lang w:val="fr-FR"/>
              </w:rPr>
              <w:t>d’une</w:t>
            </w:r>
            <w:proofErr w:type="gramEnd"/>
            <w:r w:rsidR="00B84353">
              <w:rPr>
                <w:rFonts w:cs="Arial"/>
                <w:lang w:val="fr-FR"/>
              </w:rPr>
              <w:t xml:space="preserve"> réseau d’action.</w:t>
            </w:r>
          </w:p>
        </w:tc>
      </w:tr>
    </w:tbl>
    <w:p w:rsidR="00A55C4F" w:rsidRPr="00B84353" w:rsidRDefault="00A55C4F" w:rsidP="00A55C4F">
      <w:pPr>
        <w:tabs>
          <w:tab w:val="left" w:pos="1133"/>
        </w:tabs>
        <w:spacing w:after="80"/>
        <w:jc w:val="both"/>
        <w:rPr>
          <w:rFonts w:cs="Arial"/>
          <w:lang w:val="fr-FR"/>
        </w:rPr>
      </w:pPr>
    </w:p>
    <w:p w:rsidR="007E70A9" w:rsidRPr="00B84353" w:rsidRDefault="00B84353" w:rsidP="00205DFE">
      <w:pPr>
        <w:tabs>
          <w:tab w:val="left" w:pos="1133"/>
        </w:tabs>
        <w:spacing w:after="80" w:line="276" w:lineRule="auto"/>
        <w:contextualSpacing/>
        <w:jc w:val="both"/>
        <w:rPr>
          <w:rFonts w:cs="Arial"/>
          <w:b/>
          <w:color w:val="17365D" w:themeColor="text2" w:themeShade="BF"/>
          <w:lang w:val="fr-FR"/>
        </w:rPr>
      </w:pPr>
      <w:r w:rsidRPr="00B84353">
        <w:rPr>
          <w:rFonts w:cs="Arial"/>
          <w:b/>
          <w:color w:val="17365D" w:themeColor="text2" w:themeShade="BF"/>
          <w:lang w:val="fr-FR"/>
        </w:rPr>
        <w:t>Etape</w:t>
      </w:r>
      <w:r w:rsidR="00B80BE8" w:rsidRPr="00B84353">
        <w:rPr>
          <w:rFonts w:cs="Arial"/>
          <w:b/>
          <w:color w:val="17365D" w:themeColor="text2" w:themeShade="BF"/>
          <w:lang w:val="fr-FR"/>
        </w:rPr>
        <w:t xml:space="preserve"> 2</w:t>
      </w:r>
      <w:r w:rsidRPr="00B84353">
        <w:rPr>
          <w:rFonts w:cs="Arial"/>
          <w:b/>
          <w:color w:val="17365D" w:themeColor="text2" w:themeShade="BF"/>
          <w:lang w:val="fr-FR"/>
        </w:rPr>
        <w:t xml:space="preserve"> – Documenter et analyser les bonnes pratiques</w:t>
      </w:r>
    </w:p>
    <w:p w:rsidR="00B84353" w:rsidRPr="00B84353" w:rsidRDefault="00B84353" w:rsidP="00205DFE">
      <w:pPr>
        <w:pStyle w:val="Paragraphedeliste"/>
        <w:numPr>
          <w:ilvl w:val="0"/>
          <w:numId w:val="8"/>
        </w:numPr>
        <w:spacing w:after="80"/>
        <w:jc w:val="both"/>
        <w:rPr>
          <w:rFonts w:cs="Arial"/>
        </w:rPr>
      </w:pPr>
      <w:r w:rsidRPr="00B84353">
        <w:rPr>
          <w:rFonts w:cs="Arial"/>
        </w:rPr>
        <w:t xml:space="preserve">Définir les critères de </w:t>
      </w:r>
      <w:r>
        <w:rPr>
          <w:rFonts w:cs="Arial"/>
        </w:rPr>
        <w:t>sélection</w:t>
      </w:r>
      <w:r w:rsidRPr="00B84353">
        <w:rPr>
          <w:rFonts w:cs="Arial"/>
        </w:rPr>
        <w:t xml:space="preserve"> </w:t>
      </w:r>
      <w:r>
        <w:rPr>
          <w:rFonts w:cs="Arial"/>
        </w:rPr>
        <w:t>pour</w:t>
      </w:r>
      <w:r w:rsidRPr="00B84353">
        <w:rPr>
          <w:rFonts w:cs="Arial"/>
        </w:rPr>
        <w:t xml:space="preserve"> les bonnes pratiques.</w:t>
      </w:r>
    </w:p>
    <w:p w:rsidR="00B84353" w:rsidRDefault="00B84353" w:rsidP="00205DFE">
      <w:pPr>
        <w:pStyle w:val="Paragraphedeliste"/>
        <w:numPr>
          <w:ilvl w:val="0"/>
          <w:numId w:val="8"/>
        </w:numPr>
        <w:spacing w:after="80"/>
        <w:jc w:val="both"/>
        <w:rPr>
          <w:rFonts w:cs="Arial"/>
        </w:rPr>
      </w:pPr>
      <w:r>
        <w:rPr>
          <w:rFonts w:cs="Arial"/>
        </w:rPr>
        <w:t>Récolter des informations à propos de chaque pratique via une enquête de terrain, des entretiens, ou des ateliers.</w:t>
      </w:r>
    </w:p>
    <w:p w:rsidR="00B84353" w:rsidRPr="00B84353" w:rsidRDefault="00B84353" w:rsidP="00205DFE">
      <w:pPr>
        <w:pStyle w:val="Paragraphedeliste"/>
        <w:numPr>
          <w:ilvl w:val="0"/>
          <w:numId w:val="8"/>
        </w:numPr>
        <w:spacing w:after="80"/>
        <w:jc w:val="both"/>
        <w:rPr>
          <w:rFonts w:cs="Arial"/>
        </w:rPr>
      </w:pPr>
      <w:r>
        <w:rPr>
          <w:rFonts w:cs="Arial"/>
        </w:rPr>
        <w:lastRenderedPageBreak/>
        <w:t xml:space="preserve">Produire une publication (ou un support média, tel qu’une vidéo, des interviews, ou un diaporama photo) sur chaque pratique présentant les recommandations développées à travers le processus participatif multi-acteurs.  </w:t>
      </w:r>
    </w:p>
    <w:p w:rsidR="007E70A9" w:rsidRPr="00A92828" w:rsidRDefault="007E70A9" w:rsidP="00B84353">
      <w:pPr>
        <w:pStyle w:val="Paragraphedeliste"/>
        <w:spacing w:after="80"/>
        <w:jc w:val="both"/>
        <w:rPr>
          <w:rFonts w:cs="Arial"/>
        </w:rPr>
      </w:pPr>
      <w:r w:rsidRPr="00A92828">
        <w:rPr>
          <w:rFonts w:cs="Arial"/>
        </w:rPr>
        <w:t xml:space="preserve"> </w:t>
      </w:r>
    </w:p>
    <w:tbl>
      <w:tblPr>
        <w:tblStyle w:val="Grilledutableau"/>
        <w:tblW w:w="0" w:type="auto"/>
        <w:tblLook w:val="04A0" w:firstRow="1" w:lastRow="0" w:firstColumn="1" w:lastColumn="0" w:noHBand="0" w:noVBand="1"/>
      </w:tblPr>
      <w:tblGrid>
        <w:gridCol w:w="9180"/>
      </w:tblGrid>
      <w:tr w:rsidR="004F2C40" w:rsidRPr="00A92828" w:rsidTr="004F2C40">
        <w:tc>
          <w:tcPr>
            <w:tcW w:w="9180" w:type="dxa"/>
          </w:tcPr>
          <w:p w:rsidR="004F2C40" w:rsidRPr="00A92828" w:rsidRDefault="00B84353" w:rsidP="00A55C4F">
            <w:pPr>
              <w:spacing w:after="80"/>
              <w:jc w:val="both"/>
              <w:rPr>
                <w:rFonts w:cs="Arial"/>
                <w:lang w:val="fr-FR"/>
              </w:rPr>
            </w:pPr>
            <w:r w:rsidRPr="00A92828">
              <w:rPr>
                <w:rFonts w:cs="Arial"/>
                <w:u w:val="single"/>
                <w:lang w:val="fr-FR"/>
              </w:rPr>
              <w:t>Exe</w:t>
            </w:r>
            <w:r w:rsidR="004F2C40" w:rsidRPr="00A92828">
              <w:rPr>
                <w:rFonts w:cs="Arial"/>
                <w:u w:val="single"/>
                <w:lang w:val="fr-FR"/>
              </w:rPr>
              <w:t>mple</w:t>
            </w:r>
          </w:p>
          <w:p w:rsidR="004F2C40" w:rsidRPr="00D661AE" w:rsidRDefault="00B84353" w:rsidP="00D661AE">
            <w:pPr>
              <w:jc w:val="both"/>
              <w:rPr>
                <w:rFonts w:cs="Arial"/>
                <w:lang w:val="fr-FR"/>
              </w:rPr>
            </w:pPr>
            <w:r w:rsidRPr="00B84353">
              <w:rPr>
                <w:lang w:val="fr-FR"/>
              </w:rPr>
              <w:t xml:space="preserve">Les bonnes pratiques peuvent aider à construire et mettre en place un projet pilote. </w:t>
            </w:r>
            <w:r>
              <w:rPr>
                <w:lang w:val="fr-FR"/>
              </w:rPr>
              <w:t xml:space="preserve">De plus, les prestataires de services locaux liés à la prévention et au traitement du VIH ont une meilleure compréhension de la manière de rendre leurs services accessibles aux personnes handicapées. </w:t>
            </w:r>
            <w:r w:rsidR="00D661AE">
              <w:rPr>
                <w:lang w:val="fr-FR"/>
              </w:rPr>
              <w:t xml:space="preserve">Les ONG impliquées dans la prévention et le traitement du VIH comprennent alors la nécessité d’être inclusives. Les OPH ont également une meilleure compréhension des questions liées à la prévention et au traitement du VIH, et de la manière de promouvoir l’inclusion des personnes handicapées dans leurs services. Les OPH peuvent alors être de véritables défenseurs de cette cause et informer les prestataires de services sur la question de l’inclusion. Des relations ont ainsi été formées entre les OPH, les prestataires de services, et les ONG afin de former un réseau sur la prévention </w:t>
            </w:r>
            <w:proofErr w:type="spellStart"/>
            <w:r w:rsidR="00D661AE">
              <w:rPr>
                <w:lang w:val="fr-FR"/>
              </w:rPr>
              <w:t>eet</w:t>
            </w:r>
            <w:proofErr w:type="spellEnd"/>
            <w:r w:rsidR="00D661AE">
              <w:rPr>
                <w:lang w:val="fr-FR"/>
              </w:rPr>
              <w:t xml:space="preserve"> le traitement du VIH de manière inclusive.</w:t>
            </w:r>
            <w:r w:rsidR="00D661AE" w:rsidRPr="00D661AE">
              <w:rPr>
                <w:rFonts w:cs="Arial"/>
                <w:lang w:val="fr-FR"/>
              </w:rPr>
              <w:t xml:space="preserve"> </w:t>
            </w:r>
          </w:p>
        </w:tc>
      </w:tr>
    </w:tbl>
    <w:p w:rsidR="00A55C4F" w:rsidRDefault="00705FFA" w:rsidP="00A55C4F">
      <w:pPr>
        <w:spacing w:after="80"/>
        <w:jc w:val="both"/>
        <w:rPr>
          <w:rFonts w:cs="Arial"/>
          <w:lang w:val="en-US"/>
        </w:rPr>
      </w:pPr>
      <w:r>
        <w:rPr>
          <w:rFonts w:cs="Arial"/>
          <w:lang w:val="en-US"/>
        </w:rPr>
        <w:t>It is very important to define your target when planning your good practice collection.</w:t>
      </w:r>
    </w:p>
    <w:tbl>
      <w:tblPr>
        <w:tblStyle w:val="Grilledutableau"/>
        <w:tblW w:w="0" w:type="auto"/>
        <w:tblLook w:val="04A0" w:firstRow="1" w:lastRow="0" w:firstColumn="1" w:lastColumn="0" w:noHBand="0" w:noVBand="1"/>
      </w:tblPr>
      <w:tblGrid>
        <w:gridCol w:w="9180"/>
      </w:tblGrid>
      <w:tr w:rsidR="004F2C40" w:rsidRPr="00A92828" w:rsidTr="004F2C40">
        <w:tc>
          <w:tcPr>
            <w:tcW w:w="9180" w:type="dxa"/>
          </w:tcPr>
          <w:p w:rsidR="004F2C40" w:rsidRPr="00D661AE" w:rsidRDefault="00D661AE" w:rsidP="00A55C4F">
            <w:pPr>
              <w:spacing w:after="80"/>
              <w:jc w:val="both"/>
              <w:rPr>
                <w:rFonts w:cs="Arial"/>
                <w:lang w:val="fr-FR"/>
              </w:rPr>
            </w:pPr>
            <w:r w:rsidRPr="00D661AE">
              <w:rPr>
                <w:rFonts w:cs="Arial"/>
                <w:u w:val="single"/>
                <w:lang w:val="fr-FR"/>
              </w:rPr>
              <w:t>Exe</w:t>
            </w:r>
            <w:r w:rsidR="004F2C40" w:rsidRPr="00D661AE">
              <w:rPr>
                <w:rFonts w:cs="Arial"/>
                <w:u w:val="single"/>
                <w:lang w:val="fr-FR"/>
              </w:rPr>
              <w:t>mple</w:t>
            </w:r>
          </w:p>
          <w:p w:rsidR="004F2C40" w:rsidRPr="00A92828" w:rsidRDefault="00D661AE" w:rsidP="00D661AE">
            <w:pPr>
              <w:jc w:val="both"/>
              <w:rPr>
                <w:lang w:val="fr-FR"/>
              </w:rPr>
            </w:pPr>
            <w:r w:rsidRPr="00D661AE">
              <w:rPr>
                <w:rFonts w:cs="Arial"/>
                <w:lang w:val="fr-FR"/>
              </w:rPr>
              <w:t>Dans ce cas, par exemple, les group</w:t>
            </w:r>
            <w:r>
              <w:rPr>
                <w:rFonts w:cs="Arial"/>
                <w:lang w:val="fr-FR"/>
              </w:rPr>
              <w:t>e</w:t>
            </w:r>
            <w:r w:rsidRPr="00D661AE">
              <w:rPr>
                <w:rFonts w:cs="Arial"/>
                <w:lang w:val="fr-FR"/>
              </w:rPr>
              <w:t>s cibles étaient</w:t>
            </w:r>
            <w:r>
              <w:rPr>
                <w:rFonts w:cs="Arial"/>
                <w:lang w:val="fr-FR"/>
              </w:rPr>
              <w:t xml:space="preserve"> : les prestataires de services locaux travaillant sur la prévention et le traitement du VIH, les réseaux nationaux sur le VIH/SIDA en Ethiopie, les organisations internationales et ONG travaillant sur cette thématique. </w:t>
            </w:r>
          </w:p>
        </w:tc>
      </w:tr>
    </w:tbl>
    <w:p w:rsidR="00705FFA" w:rsidRPr="00A92828" w:rsidRDefault="00705FFA" w:rsidP="00A55C4F">
      <w:pPr>
        <w:spacing w:after="80"/>
        <w:jc w:val="both"/>
        <w:rPr>
          <w:rFonts w:cs="Arial"/>
          <w:lang w:val="fr-FR"/>
        </w:rPr>
      </w:pPr>
    </w:p>
    <w:p w:rsidR="00B80BE8" w:rsidRPr="00205DFE" w:rsidRDefault="00D661AE" w:rsidP="00205DFE">
      <w:pPr>
        <w:spacing w:after="80" w:line="276" w:lineRule="auto"/>
        <w:contextualSpacing/>
        <w:jc w:val="both"/>
        <w:rPr>
          <w:rFonts w:cs="Arial"/>
          <w:b/>
          <w:color w:val="17365D" w:themeColor="text2" w:themeShade="BF"/>
        </w:rPr>
      </w:pPr>
      <w:proofErr w:type="spellStart"/>
      <w:r>
        <w:rPr>
          <w:rFonts w:cs="Arial"/>
          <w:b/>
          <w:color w:val="17365D" w:themeColor="text2" w:themeShade="BF"/>
        </w:rPr>
        <w:t>Etape</w:t>
      </w:r>
      <w:proofErr w:type="spellEnd"/>
      <w:r>
        <w:rPr>
          <w:rFonts w:cs="Arial"/>
          <w:b/>
          <w:color w:val="17365D" w:themeColor="text2" w:themeShade="BF"/>
        </w:rPr>
        <w:t xml:space="preserve"> 3 – </w:t>
      </w:r>
      <w:proofErr w:type="spellStart"/>
      <w:r>
        <w:rPr>
          <w:rFonts w:cs="Arial"/>
          <w:b/>
          <w:color w:val="17365D" w:themeColor="text2" w:themeShade="BF"/>
        </w:rPr>
        <w:t>Agir</w:t>
      </w:r>
      <w:proofErr w:type="spellEnd"/>
      <w:r>
        <w:rPr>
          <w:rFonts w:cs="Arial"/>
          <w:b/>
          <w:color w:val="17365D" w:themeColor="text2" w:themeShade="BF"/>
        </w:rPr>
        <w:t xml:space="preserve"> pour le </w:t>
      </w:r>
      <w:proofErr w:type="spellStart"/>
      <w:r>
        <w:rPr>
          <w:rFonts w:cs="Arial"/>
          <w:b/>
          <w:color w:val="17365D" w:themeColor="text2" w:themeShade="BF"/>
        </w:rPr>
        <w:t>changement</w:t>
      </w:r>
      <w:proofErr w:type="spellEnd"/>
    </w:p>
    <w:p w:rsidR="00D661AE" w:rsidRPr="002C781A" w:rsidRDefault="002C781A" w:rsidP="00205DFE">
      <w:pPr>
        <w:pStyle w:val="Paragraphedeliste"/>
        <w:numPr>
          <w:ilvl w:val="0"/>
          <w:numId w:val="8"/>
        </w:numPr>
        <w:spacing w:after="80"/>
        <w:jc w:val="both"/>
        <w:rPr>
          <w:rFonts w:cs="Arial"/>
        </w:rPr>
      </w:pPr>
      <w:r w:rsidRPr="002C781A">
        <w:rPr>
          <w:rFonts w:cs="Arial"/>
        </w:rPr>
        <w:t>Définir une stratégie sur la manière d’influencer les changements.</w:t>
      </w:r>
    </w:p>
    <w:p w:rsidR="002C781A" w:rsidRDefault="002C781A" w:rsidP="00205DFE">
      <w:pPr>
        <w:pStyle w:val="Paragraphedeliste"/>
        <w:numPr>
          <w:ilvl w:val="0"/>
          <w:numId w:val="8"/>
        </w:numPr>
        <w:spacing w:after="80"/>
        <w:jc w:val="both"/>
        <w:rPr>
          <w:rFonts w:cs="Arial"/>
        </w:rPr>
      </w:pPr>
      <w:r>
        <w:rPr>
          <w:rFonts w:cs="Arial"/>
        </w:rPr>
        <w:t>Définir les processus ou services que l’on veut faire changer.</w:t>
      </w:r>
    </w:p>
    <w:p w:rsidR="002C781A" w:rsidRDefault="002C781A" w:rsidP="00205DFE">
      <w:pPr>
        <w:pStyle w:val="Paragraphedeliste"/>
        <w:numPr>
          <w:ilvl w:val="0"/>
          <w:numId w:val="8"/>
        </w:numPr>
        <w:spacing w:after="80"/>
        <w:jc w:val="both"/>
        <w:rPr>
          <w:rFonts w:cs="Arial"/>
        </w:rPr>
      </w:pPr>
      <w:r>
        <w:rPr>
          <w:rFonts w:cs="Arial"/>
        </w:rPr>
        <w:t xml:space="preserve">Disséminer des informations </w:t>
      </w:r>
      <w:r w:rsidR="0084096D">
        <w:rPr>
          <w:rFonts w:cs="Arial"/>
        </w:rPr>
        <w:t>et impliquer les groupes cibles.</w:t>
      </w:r>
    </w:p>
    <w:p w:rsidR="003E4A1A" w:rsidRPr="0084096D" w:rsidRDefault="0084096D" w:rsidP="0084096D">
      <w:pPr>
        <w:pStyle w:val="Paragraphedeliste"/>
        <w:numPr>
          <w:ilvl w:val="0"/>
          <w:numId w:val="8"/>
        </w:numPr>
        <w:spacing w:after="80"/>
        <w:jc w:val="both"/>
        <w:rPr>
          <w:rFonts w:cs="Arial"/>
        </w:rPr>
      </w:pPr>
      <w:r>
        <w:rPr>
          <w:rFonts w:cs="Arial"/>
        </w:rPr>
        <w:t xml:space="preserve">Informer, sensibiliser, et mener des actions de plaidoyer, en utilisant les preuves collectées, afin d’obtenir les changements espérés. </w:t>
      </w:r>
    </w:p>
    <w:tbl>
      <w:tblPr>
        <w:tblStyle w:val="Grilledutableau"/>
        <w:tblW w:w="0" w:type="auto"/>
        <w:tblInd w:w="-34" w:type="dxa"/>
        <w:tblLook w:val="04A0" w:firstRow="1" w:lastRow="0" w:firstColumn="1" w:lastColumn="0" w:noHBand="0" w:noVBand="1"/>
      </w:tblPr>
      <w:tblGrid>
        <w:gridCol w:w="9246"/>
      </w:tblGrid>
      <w:tr w:rsidR="00205DFE" w:rsidRPr="00A92828" w:rsidTr="004F2C40">
        <w:tc>
          <w:tcPr>
            <w:tcW w:w="9246" w:type="dxa"/>
          </w:tcPr>
          <w:p w:rsidR="00205DFE" w:rsidRPr="0084096D" w:rsidRDefault="0084096D" w:rsidP="004F2C40">
            <w:pPr>
              <w:spacing w:after="80" w:line="276" w:lineRule="auto"/>
              <w:ind w:left="34"/>
              <w:contextualSpacing/>
              <w:jc w:val="both"/>
              <w:rPr>
                <w:rFonts w:cs="Arial"/>
                <w:bCs/>
                <w:szCs w:val="22"/>
                <w:lang w:val="fr-FR"/>
              </w:rPr>
            </w:pPr>
            <w:r w:rsidRPr="0084096D">
              <w:rPr>
                <w:rFonts w:cs="Arial"/>
                <w:bCs/>
                <w:szCs w:val="22"/>
                <w:u w:val="single"/>
                <w:lang w:val="fr-FR"/>
              </w:rPr>
              <w:t>Exe</w:t>
            </w:r>
            <w:r w:rsidR="003E4A1A" w:rsidRPr="0084096D">
              <w:rPr>
                <w:rFonts w:cs="Arial"/>
                <w:bCs/>
                <w:szCs w:val="22"/>
                <w:u w:val="single"/>
                <w:lang w:val="fr-FR"/>
              </w:rPr>
              <w:t>mple</w:t>
            </w:r>
          </w:p>
          <w:p w:rsidR="00F337AB" w:rsidRDefault="0084096D" w:rsidP="004F2C40">
            <w:pPr>
              <w:jc w:val="both"/>
              <w:rPr>
                <w:rFonts w:cs="Arial"/>
                <w:bCs/>
                <w:szCs w:val="22"/>
                <w:lang w:val="fr-FR"/>
              </w:rPr>
            </w:pPr>
            <w:r w:rsidRPr="0084096D">
              <w:rPr>
                <w:rFonts w:cs="Arial"/>
                <w:bCs/>
                <w:szCs w:val="22"/>
                <w:lang w:val="fr-FR"/>
              </w:rPr>
              <w:t xml:space="preserve">Les changements qui doivent être obtenus sont ceux </w:t>
            </w:r>
            <w:r>
              <w:rPr>
                <w:rFonts w:cs="Arial"/>
                <w:bCs/>
                <w:szCs w:val="22"/>
                <w:lang w:val="fr-FR"/>
              </w:rPr>
              <w:t xml:space="preserve">nécessités par votre groupe cible. Dans ce cas, les prestataires de services travaillant sur la prévention et le traitement du VIH/SIDA acquièrent une compréhension </w:t>
            </w:r>
            <w:r w:rsidR="00F337AB">
              <w:rPr>
                <w:rFonts w:cs="Arial"/>
                <w:bCs/>
                <w:szCs w:val="22"/>
                <w:lang w:val="fr-FR"/>
              </w:rPr>
              <w:t>de la manière de rendre leurs services accessibles aux personnes handicapées. Ils ont formé des relations avec les OPH. Ces derniers ont acquis une meilleure compréhension des questions liées au VIH/SIDA et peuvent promouvoir la prévention et le traitement du VIH/SIDA dans leurs actions. La réseau national travaillant sur le VIH/SIDA en Ethiopie connait cette bonne pratique et a commencé à promouvoir des actions inclusives. Un réseau d’action a été formé suite aux actions du comité,  pour procurer des formations techniques sur l’inclusion aux prestataires de service. Les ONG ont commencé à rendre leurs actions inclusives et développent des relations avec les OPH. Des activités de plaidoyer ont été organisées, incluant des formations pour des prestataires de services, ONG et OPH, afin de développer des stratégies de collaboration et de partenariat. Le film sur la bonne pratique sera utilisé pour des actions de sensibilisation au niveau national afin d’amener de la visibilité aux questions de VIH et handicap. La bonne pratique a également servi de base d’apprentissage à travers le projet pilote.</w:t>
            </w:r>
          </w:p>
          <w:p w:rsidR="00205DFE" w:rsidRPr="00A92828" w:rsidRDefault="00205DFE" w:rsidP="00F337AB">
            <w:pPr>
              <w:jc w:val="both"/>
              <w:rPr>
                <w:lang w:val="fr-FR"/>
              </w:rPr>
            </w:pPr>
          </w:p>
        </w:tc>
      </w:tr>
    </w:tbl>
    <w:p w:rsidR="00621BA7" w:rsidRPr="00A92828" w:rsidRDefault="00621BA7" w:rsidP="00205DFE">
      <w:pPr>
        <w:spacing w:after="80" w:line="276" w:lineRule="auto"/>
        <w:contextualSpacing/>
        <w:jc w:val="both"/>
        <w:rPr>
          <w:rFonts w:cs="Arial"/>
          <w:b/>
          <w:bCs/>
          <w:szCs w:val="22"/>
          <w:lang w:val="fr-FR"/>
        </w:rPr>
      </w:pPr>
    </w:p>
    <w:p w:rsidR="00CF4755" w:rsidRPr="00A92828" w:rsidRDefault="00CF4755" w:rsidP="00205DFE">
      <w:pPr>
        <w:spacing w:after="80" w:line="276" w:lineRule="auto"/>
        <w:contextualSpacing/>
        <w:jc w:val="both"/>
        <w:rPr>
          <w:rFonts w:cs="Arial"/>
          <w:szCs w:val="22"/>
          <w:lang w:val="fr-FR"/>
        </w:rPr>
      </w:pPr>
    </w:p>
    <w:p w:rsidR="00B80BE8" w:rsidRPr="00F337AB" w:rsidRDefault="00205DFE" w:rsidP="00205DFE">
      <w:pPr>
        <w:shd w:val="clear" w:color="auto" w:fill="17365D" w:themeFill="text2" w:themeFillShade="BF"/>
        <w:spacing w:after="80" w:line="276" w:lineRule="auto"/>
        <w:contextualSpacing/>
        <w:jc w:val="both"/>
        <w:rPr>
          <w:rFonts w:cs="Arial"/>
          <w:b/>
          <w:bCs/>
          <w:color w:val="FFFFFF" w:themeColor="background1"/>
          <w:sz w:val="24"/>
          <w:lang w:val="fr-FR"/>
        </w:rPr>
      </w:pPr>
      <w:r w:rsidRPr="00F337AB">
        <w:rPr>
          <w:rFonts w:cs="Arial"/>
          <w:b/>
          <w:bCs/>
          <w:color w:val="FFFFFF" w:themeColor="background1"/>
          <w:sz w:val="24"/>
          <w:lang w:val="fr-FR"/>
        </w:rPr>
        <w:t xml:space="preserve"> </w:t>
      </w:r>
      <w:r w:rsidR="00F337AB" w:rsidRPr="00F337AB">
        <w:rPr>
          <w:rFonts w:cs="Arial"/>
          <w:b/>
          <w:bCs/>
          <w:color w:val="FFFFFF" w:themeColor="background1"/>
          <w:sz w:val="24"/>
          <w:lang w:val="fr-FR"/>
        </w:rPr>
        <w:t>Qu’</w:t>
      </w:r>
      <w:proofErr w:type="spellStart"/>
      <w:r w:rsidR="00F337AB" w:rsidRPr="00F337AB">
        <w:rPr>
          <w:rFonts w:cs="Arial"/>
          <w:b/>
          <w:bCs/>
          <w:color w:val="FFFFFF" w:themeColor="background1"/>
          <w:sz w:val="24"/>
          <w:lang w:val="fr-FR"/>
        </w:rPr>
        <w:t>est ce</w:t>
      </w:r>
      <w:proofErr w:type="spellEnd"/>
      <w:r w:rsidR="00F337AB" w:rsidRPr="00F337AB">
        <w:rPr>
          <w:rFonts w:cs="Arial"/>
          <w:b/>
          <w:bCs/>
          <w:color w:val="FFFFFF" w:themeColor="background1"/>
          <w:sz w:val="24"/>
          <w:lang w:val="fr-FR"/>
        </w:rPr>
        <w:t xml:space="preserve"> qu’une bonne pratique selon </w:t>
      </w:r>
      <w:r w:rsidR="00E362A7">
        <w:rPr>
          <w:rFonts w:cs="Arial"/>
          <w:b/>
          <w:bCs/>
          <w:color w:val="FFFFFF" w:themeColor="background1"/>
          <w:sz w:val="24"/>
          <w:lang w:val="fr-FR"/>
        </w:rPr>
        <w:t>Making It Work</w:t>
      </w:r>
      <w:r w:rsidR="00B80BE8" w:rsidRPr="00F337AB">
        <w:rPr>
          <w:rFonts w:cs="Arial"/>
          <w:b/>
          <w:bCs/>
          <w:color w:val="FFFFFF" w:themeColor="background1"/>
          <w:sz w:val="24"/>
          <w:lang w:val="fr-FR"/>
        </w:rPr>
        <w:t>?</w:t>
      </w:r>
    </w:p>
    <w:p w:rsidR="00205DFE" w:rsidRPr="00F337AB" w:rsidRDefault="00205DFE" w:rsidP="00205DFE">
      <w:pPr>
        <w:autoSpaceDE w:val="0"/>
        <w:autoSpaceDN w:val="0"/>
        <w:adjustRightInd w:val="0"/>
        <w:spacing w:after="80" w:line="276" w:lineRule="auto"/>
        <w:contextualSpacing/>
        <w:jc w:val="both"/>
        <w:rPr>
          <w:rFonts w:cs="Arial"/>
          <w:lang w:val="fr-FR"/>
        </w:rPr>
      </w:pPr>
    </w:p>
    <w:p w:rsidR="00FB578D" w:rsidRPr="00FB578D" w:rsidRDefault="00F337AB" w:rsidP="00FB578D">
      <w:pPr>
        <w:autoSpaceDE w:val="0"/>
        <w:autoSpaceDN w:val="0"/>
        <w:adjustRightInd w:val="0"/>
        <w:spacing w:after="80" w:line="276" w:lineRule="auto"/>
        <w:contextualSpacing/>
        <w:jc w:val="both"/>
        <w:rPr>
          <w:rFonts w:cs="Arial"/>
          <w:lang w:val="fr-FR"/>
        </w:rPr>
      </w:pPr>
      <w:r w:rsidRPr="00F337AB">
        <w:rPr>
          <w:rFonts w:cs="Arial"/>
          <w:lang w:val="fr-FR"/>
        </w:rPr>
        <w:lastRenderedPageBreak/>
        <w:t xml:space="preserve">Le terme “bonne pratique” se réfère à une pratique qui facilite </w:t>
      </w:r>
      <w:r w:rsidR="00FB578D">
        <w:rPr>
          <w:rFonts w:cs="Arial"/>
          <w:lang w:val="fr-FR"/>
        </w:rPr>
        <w:t xml:space="preserve">« la </w:t>
      </w:r>
      <w:r w:rsidR="00FB578D" w:rsidRPr="00FB578D">
        <w:rPr>
          <w:rFonts w:cs="Arial"/>
          <w:lang w:val="fr-FR"/>
        </w:rPr>
        <w:t>pleine et effective participation à la société sur la</w:t>
      </w:r>
      <w:r w:rsidR="00FB578D">
        <w:rPr>
          <w:rFonts w:cs="Arial"/>
          <w:lang w:val="fr-FR"/>
        </w:rPr>
        <w:t xml:space="preserve"> </w:t>
      </w:r>
      <w:r w:rsidR="00FB578D" w:rsidRPr="00FB578D">
        <w:rPr>
          <w:rFonts w:cs="Arial"/>
          <w:lang w:val="fr-FR"/>
        </w:rPr>
        <w:t>base de l’égalité avec les autres</w:t>
      </w:r>
      <w:r w:rsidR="00FB578D">
        <w:rPr>
          <w:rFonts w:cs="Arial"/>
          <w:lang w:val="fr-FR"/>
        </w:rPr>
        <w:t xml:space="preserve"> » (CDPH, préambule), et actions qui ont été revendiquées comme ayant un impact positif par les personnes handicapées. Les projets utilisant MIW peuvent établir leurs propres critères spécifiques à travers une décision multi-acteurs. </w:t>
      </w:r>
      <w:r w:rsidRPr="00F337AB">
        <w:rPr>
          <w:rFonts w:cs="Arial"/>
          <w:lang w:val="fr-FR"/>
        </w:rPr>
        <w:t xml:space="preserve"> </w:t>
      </w:r>
    </w:p>
    <w:p w:rsidR="00205DFE" w:rsidRPr="00A92828" w:rsidRDefault="00205DFE" w:rsidP="00865325">
      <w:pPr>
        <w:autoSpaceDE w:val="0"/>
        <w:autoSpaceDN w:val="0"/>
        <w:adjustRightInd w:val="0"/>
        <w:spacing w:after="80" w:line="276" w:lineRule="auto"/>
        <w:contextualSpacing/>
        <w:jc w:val="both"/>
        <w:rPr>
          <w:rFonts w:cs="Arial"/>
          <w:color w:val="000000"/>
          <w:lang w:val="fr-FR"/>
        </w:rPr>
      </w:pPr>
    </w:p>
    <w:p w:rsidR="00FB578D" w:rsidRDefault="00FB578D" w:rsidP="00865325">
      <w:pPr>
        <w:autoSpaceDE w:val="0"/>
        <w:autoSpaceDN w:val="0"/>
        <w:adjustRightInd w:val="0"/>
        <w:spacing w:after="80" w:line="276" w:lineRule="auto"/>
        <w:contextualSpacing/>
        <w:jc w:val="both"/>
        <w:rPr>
          <w:rFonts w:cs="Arial"/>
          <w:color w:val="000000"/>
          <w:lang w:val="fr-FR"/>
        </w:rPr>
      </w:pPr>
      <w:r w:rsidRPr="00FB578D">
        <w:rPr>
          <w:rFonts w:cs="Arial"/>
          <w:color w:val="000000"/>
          <w:lang w:val="fr-FR"/>
        </w:rPr>
        <w:t>Nous proposons les critères suivants comme points de d</w:t>
      </w:r>
      <w:r>
        <w:rPr>
          <w:rFonts w:cs="Arial"/>
          <w:color w:val="000000"/>
          <w:lang w:val="fr-FR"/>
        </w:rPr>
        <w:t>é</w:t>
      </w:r>
      <w:r w:rsidRPr="00FB578D">
        <w:rPr>
          <w:rFonts w:cs="Arial"/>
          <w:color w:val="000000"/>
          <w:lang w:val="fr-FR"/>
        </w:rPr>
        <w:t xml:space="preserve">part, pouvant bien entendu </w:t>
      </w:r>
      <w:r>
        <w:rPr>
          <w:rFonts w:cs="Arial"/>
          <w:color w:val="000000"/>
          <w:lang w:val="fr-FR"/>
        </w:rPr>
        <w:t>être adaptés à chaque contexte :</w:t>
      </w:r>
    </w:p>
    <w:p w:rsidR="00A92828" w:rsidRDefault="00A92828" w:rsidP="00A92828">
      <w:pPr>
        <w:pStyle w:val="Paragraphedeliste"/>
        <w:numPr>
          <w:ilvl w:val="0"/>
          <w:numId w:val="5"/>
        </w:numPr>
        <w:autoSpaceDE w:val="0"/>
        <w:autoSpaceDN w:val="0"/>
        <w:adjustRightInd w:val="0"/>
        <w:spacing w:after="80"/>
        <w:jc w:val="both"/>
        <w:rPr>
          <w:rFonts w:cs="Arial"/>
          <w:color w:val="000000"/>
        </w:rPr>
      </w:pPr>
      <w:r w:rsidRPr="00E362A7">
        <w:rPr>
          <w:rFonts w:cs="Arial"/>
          <w:b/>
          <w:color w:val="17365D" w:themeColor="text2" w:themeShade="BF"/>
        </w:rPr>
        <w:t>Effet/impact tangible</w:t>
      </w:r>
      <w:r w:rsidRPr="00E362A7">
        <w:rPr>
          <w:rFonts w:cs="Arial"/>
          <w:color w:val="17365D" w:themeColor="text2" w:themeShade="BF"/>
        </w:rPr>
        <w:t> </w:t>
      </w:r>
      <w:r>
        <w:rPr>
          <w:rFonts w:cs="Arial"/>
          <w:color w:val="000000"/>
        </w:rPr>
        <w:t>: changements observés et impact positif.</w:t>
      </w:r>
    </w:p>
    <w:p w:rsidR="00A92828" w:rsidRDefault="00A92828" w:rsidP="00A92828">
      <w:pPr>
        <w:pStyle w:val="Paragraphedeliste"/>
        <w:numPr>
          <w:ilvl w:val="0"/>
          <w:numId w:val="5"/>
        </w:numPr>
        <w:autoSpaceDE w:val="0"/>
        <w:autoSpaceDN w:val="0"/>
        <w:adjustRightInd w:val="0"/>
        <w:spacing w:after="80"/>
        <w:jc w:val="both"/>
        <w:rPr>
          <w:rFonts w:cs="Arial"/>
          <w:color w:val="000000"/>
        </w:rPr>
      </w:pPr>
      <w:r w:rsidRPr="00E362A7">
        <w:rPr>
          <w:rFonts w:cs="Arial"/>
          <w:b/>
          <w:color w:val="17365D" w:themeColor="text2" w:themeShade="BF"/>
        </w:rPr>
        <w:t>Reproductibilité</w:t>
      </w:r>
      <w:r w:rsidRPr="00E362A7">
        <w:rPr>
          <w:rFonts w:cs="Arial"/>
          <w:color w:val="17365D" w:themeColor="text2" w:themeShade="BF"/>
        </w:rPr>
        <w:t> </w:t>
      </w:r>
      <w:r>
        <w:rPr>
          <w:rFonts w:cs="Arial"/>
          <w:color w:val="000000"/>
        </w:rPr>
        <w:t xml:space="preserve">: adaptable ou </w:t>
      </w:r>
      <w:r w:rsidR="00494DA2">
        <w:rPr>
          <w:rFonts w:cs="Arial"/>
          <w:color w:val="000000"/>
        </w:rPr>
        <w:t>pouvant être reproduit</w:t>
      </w:r>
      <w:r>
        <w:rPr>
          <w:rFonts w:cs="Arial"/>
          <w:color w:val="000000"/>
        </w:rPr>
        <w:t xml:space="preserve"> dans un autre contexte.</w:t>
      </w:r>
    </w:p>
    <w:p w:rsidR="00494DA2" w:rsidRDefault="00494DA2" w:rsidP="00A92828">
      <w:pPr>
        <w:pStyle w:val="Paragraphedeliste"/>
        <w:numPr>
          <w:ilvl w:val="0"/>
          <w:numId w:val="5"/>
        </w:numPr>
        <w:autoSpaceDE w:val="0"/>
        <w:autoSpaceDN w:val="0"/>
        <w:adjustRightInd w:val="0"/>
        <w:spacing w:after="80"/>
        <w:jc w:val="both"/>
        <w:rPr>
          <w:rFonts w:cs="Arial"/>
          <w:color w:val="000000"/>
        </w:rPr>
      </w:pPr>
      <w:r w:rsidRPr="00E362A7">
        <w:rPr>
          <w:rFonts w:cs="Arial"/>
          <w:b/>
          <w:color w:val="17365D" w:themeColor="text2" w:themeShade="BF"/>
        </w:rPr>
        <w:t>Pérennité</w:t>
      </w:r>
      <w:r w:rsidRPr="00E362A7">
        <w:rPr>
          <w:rFonts w:cs="Arial"/>
          <w:color w:val="17365D" w:themeColor="text2" w:themeShade="BF"/>
        </w:rPr>
        <w:t> </w:t>
      </w:r>
      <w:r>
        <w:rPr>
          <w:rFonts w:cs="Arial"/>
          <w:color w:val="000000"/>
        </w:rPr>
        <w:t>: possibilité pour des acteurs locaux de développer ou continuer cette action dans le futur.</w:t>
      </w:r>
    </w:p>
    <w:p w:rsidR="00494DA2" w:rsidRDefault="00494DA2" w:rsidP="00A92828">
      <w:pPr>
        <w:pStyle w:val="Paragraphedeliste"/>
        <w:numPr>
          <w:ilvl w:val="0"/>
          <w:numId w:val="5"/>
        </w:numPr>
        <w:autoSpaceDE w:val="0"/>
        <w:autoSpaceDN w:val="0"/>
        <w:adjustRightInd w:val="0"/>
        <w:spacing w:after="80"/>
        <w:jc w:val="both"/>
        <w:rPr>
          <w:rFonts w:cs="Arial"/>
          <w:color w:val="000000"/>
        </w:rPr>
      </w:pPr>
      <w:r w:rsidRPr="00E362A7">
        <w:rPr>
          <w:rFonts w:cs="Arial"/>
          <w:b/>
          <w:color w:val="17365D" w:themeColor="text2" w:themeShade="BF"/>
        </w:rPr>
        <w:t>Efficacité</w:t>
      </w:r>
      <w:r w:rsidRPr="00E362A7">
        <w:rPr>
          <w:rFonts w:cs="Arial"/>
          <w:color w:val="17365D" w:themeColor="text2" w:themeShade="BF"/>
        </w:rPr>
        <w:t> </w:t>
      </w:r>
      <w:r>
        <w:rPr>
          <w:rFonts w:cs="Arial"/>
          <w:color w:val="000000"/>
        </w:rPr>
        <w:t>: en termes de temps, finances, et ressources humaines.</w:t>
      </w:r>
    </w:p>
    <w:p w:rsidR="00494DA2" w:rsidRPr="00A92828" w:rsidRDefault="00494DA2" w:rsidP="00A92828">
      <w:pPr>
        <w:pStyle w:val="Paragraphedeliste"/>
        <w:numPr>
          <w:ilvl w:val="0"/>
          <w:numId w:val="5"/>
        </w:numPr>
        <w:autoSpaceDE w:val="0"/>
        <w:autoSpaceDN w:val="0"/>
        <w:adjustRightInd w:val="0"/>
        <w:spacing w:after="80"/>
        <w:jc w:val="both"/>
        <w:rPr>
          <w:rFonts w:cs="Arial"/>
          <w:color w:val="000000"/>
        </w:rPr>
      </w:pPr>
      <w:r w:rsidRPr="00E362A7">
        <w:rPr>
          <w:rFonts w:cs="Arial"/>
          <w:b/>
          <w:color w:val="17365D" w:themeColor="text2" w:themeShade="BF"/>
        </w:rPr>
        <w:t>Centrée sur la personne</w:t>
      </w:r>
      <w:r w:rsidRPr="00E362A7">
        <w:rPr>
          <w:rFonts w:cs="Arial"/>
          <w:color w:val="17365D" w:themeColor="text2" w:themeShade="BF"/>
        </w:rPr>
        <w:t> </w:t>
      </w:r>
      <w:r>
        <w:rPr>
          <w:rFonts w:cs="Arial"/>
          <w:color w:val="000000"/>
        </w:rPr>
        <w:t>: engagement actif des acteurs clés dans chaque décision les concernant.</w:t>
      </w:r>
    </w:p>
    <w:p w:rsidR="00494DA2" w:rsidRDefault="00494DA2" w:rsidP="00494DA2">
      <w:pPr>
        <w:spacing w:after="80" w:line="276" w:lineRule="auto"/>
        <w:ind w:left="360"/>
        <w:contextualSpacing/>
        <w:jc w:val="both"/>
        <w:rPr>
          <w:lang w:val="fr-FR"/>
        </w:rPr>
      </w:pPr>
      <w:r w:rsidRPr="00494DA2">
        <w:rPr>
          <w:lang w:val="fr-FR"/>
        </w:rPr>
        <w:t xml:space="preserve">6. Conformité avec les </w:t>
      </w:r>
      <w:r w:rsidRPr="00E362A7">
        <w:rPr>
          <w:b/>
          <w:color w:val="17365D" w:themeColor="text2" w:themeShade="BF"/>
          <w:lang w:val="fr-FR"/>
        </w:rPr>
        <w:t>principes généraux de la CDPH</w:t>
      </w:r>
      <w:r w:rsidRPr="00E362A7">
        <w:rPr>
          <w:color w:val="17365D" w:themeColor="text2" w:themeShade="BF"/>
          <w:lang w:val="fr-FR"/>
        </w:rPr>
        <w:t xml:space="preserve"> </w:t>
      </w:r>
      <w:r w:rsidRPr="00494DA2">
        <w:rPr>
          <w:lang w:val="fr-FR"/>
        </w:rPr>
        <w:t xml:space="preserve">: </w:t>
      </w:r>
    </w:p>
    <w:p w:rsidR="00494DA2" w:rsidRPr="00494DA2" w:rsidRDefault="00494DA2" w:rsidP="00494DA2">
      <w:pPr>
        <w:pStyle w:val="Paragraphedeliste"/>
        <w:numPr>
          <w:ilvl w:val="0"/>
          <w:numId w:val="17"/>
        </w:numPr>
        <w:spacing w:after="80"/>
        <w:jc w:val="both"/>
        <w:rPr>
          <w:rFonts w:cs="Arial"/>
        </w:rPr>
      </w:pPr>
      <w:r w:rsidRPr="00494DA2">
        <w:t xml:space="preserve">Respect de la dignité intrinsèque, de l’autonomie individuelle (y compris la liberté de faire ses propres choix) et de l’indépendance des personnes ; </w:t>
      </w:r>
    </w:p>
    <w:p w:rsidR="00494DA2" w:rsidRPr="00494DA2" w:rsidRDefault="00494DA2" w:rsidP="00494DA2">
      <w:pPr>
        <w:pStyle w:val="Paragraphedeliste"/>
        <w:numPr>
          <w:ilvl w:val="0"/>
          <w:numId w:val="17"/>
        </w:numPr>
        <w:spacing w:after="80"/>
        <w:jc w:val="both"/>
        <w:rPr>
          <w:rFonts w:cs="Arial"/>
        </w:rPr>
      </w:pPr>
      <w:r w:rsidRPr="00494DA2">
        <w:t xml:space="preserve">Non-discrimination ; </w:t>
      </w:r>
    </w:p>
    <w:p w:rsidR="00494DA2" w:rsidRPr="00494DA2" w:rsidRDefault="00494DA2" w:rsidP="00494DA2">
      <w:pPr>
        <w:pStyle w:val="Paragraphedeliste"/>
        <w:numPr>
          <w:ilvl w:val="0"/>
          <w:numId w:val="17"/>
        </w:numPr>
        <w:spacing w:after="80"/>
        <w:jc w:val="both"/>
        <w:rPr>
          <w:rFonts w:cs="Arial"/>
        </w:rPr>
      </w:pPr>
      <w:r w:rsidRPr="00494DA2">
        <w:t xml:space="preserve">Participation et intégration pleines et effectives à la société ; </w:t>
      </w:r>
    </w:p>
    <w:p w:rsidR="00494DA2" w:rsidRPr="00494DA2" w:rsidRDefault="00494DA2" w:rsidP="00494DA2">
      <w:pPr>
        <w:pStyle w:val="Paragraphedeliste"/>
        <w:numPr>
          <w:ilvl w:val="0"/>
          <w:numId w:val="17"/>
        </w:numPr>
        <w:spacing w:after="80"/>
        <w:jc w:val="both"/>
        <w:rPr>
          <w:rFonts w:cs="Arial"/>
        </w:rPr>
      </w:pPr>
      <w:r w:rsidRPr="00494DA2">
        <w:t xml:space="preserve">Respect de la différence et acceptation des personnes handicapées comme faisant partie de la diversité humaine et de l’humanité ; </w:t>
      </w:r>
    </w:p>
    <w:p w:rsidR="00494DA2" w:rsidRPr="00494DA2" w:rsidRDefault="00494DA2" w:rsidP="00494DA2">
      <w:pPr>
        <w:pStyle w:val="Paragraphedeliste"/>
        <w:numPr>
          <w:ilvl w:val="0"/>
          <w:numId w:val="17"/>
        </w:numPr>
        <w:spacing w:after="80"/>
        <w:jc w:val="both"/>
        <w:rPr>
          <w:rFonts w:cs="Arial"/>
        </w:rPr>
      </w:pPr>
      <w:r w:rsidRPr="00494DA2">
        <w:t xml:space="preserve">Égalité des chances ; </w:t>
      </w:r>
    </w:p>
    <w:p w:rsidR="00494DA2" w:rsidRPr="00494DA2" w:rsidRDefault="00494DA2" w:rsidP="00494DA2">
      <w:pPr>
        <w:pStyle w:val="Paragraphedeliste"/>
        <w:numPr>
          <w:ilvl w:val="0"/>
          <w:numId w:val="17"/>
        </w:numPr>
        <w:spacing w:after="80"/>
        <w:jc w:val="both"/>
        <w:rPr>
          <w:rFonts w:cs="Arial"/>
        </w:rPr>
      </w:pPr>
      <w:r w:rsidRPr="00494DA2">
        <w:t xml:space="preserve">Accessibilité ; </w:t>
      </w:r>
    </w:p>
    <w:p w:rsidR="00494DA2" w:rsidRPr="00494DA2" w:rsidRDefault="00494DA2" w:rsidP="00494DA2">
      <w:pPr>
        <w:pStyle w:val="Paragraphedeliste"/>
        <w:numPr>
          <w:ilvl w:val="0"/>
          <w:numId w:val="17"/>
        </w:numPr>
        <w:spacing w:after="80"/>
        <w:jc w:val="both"/>
        <w:rPr>
          <w:rFonts w:cs="Arial"/>
        </w:rPr>
      </w:pPr>
      <w:r w:rsidRPr="00494DA2">
        <w:t xml:space="preserve">Égalité entre les hommes et les femmes ; </w:t>
      </w:r>
    </w:p>
    <w:p w:rsidR="003E4A1A" w:rsidRPr="00494DA2" w:rsidRDefault="00494DA2" w:rsidP="00494DA2">
      <w:pPr>
        <w:pStyle w:val="Paragraphedeliste"/>
        <w:numPr>
          <w:ilvl w:val="0"/>
          <w:numId w:val="17"/>
        </w:numPr>
        <w:spacing w:after="80"/>
        <w:jc w:val="both"/>
        <w:rPr>
          <w:rFonts w:cs="Arial"/>
        </w:rPr>
      </w:pPr>
      <w:r w:rsidRPr="00494DA2">
        <w:t>Respect du développement des capacités de l’enfant handicapé et respect du droit des enfants handicapés à préserver leur identité.</w:t>
      </w:r>
    </w:p>
    <w:p w:rsidR="00A55C4F" w:rsidRPr="00494DA2" w:rsidRDefault="00A55C4F" w:rsidP="00205DFE">
      <w:pPr>
        <w:spacing w:after="80" w:line="276" w:lineRule="auto"/>
        <w:ind w:left="720"/>
        <w:contextualSpacing/>
        <w:jc w:val="both"/>
        <w:rPr>
          <w:rFonts w:cs="Arial"/>
          <w:lang w:val="fr-FR"/>
        </w:rPr>
      </w:pPr>
    </w:p>
    <w:p w:rsidR="00B80BE8" w:rsidRPr="00494DA2" w:rsidRDefault="00205DFE" w:rsidP="00205DFE">
      <w:pPr>
        <w:shd w:val="clear" w:color="auto" w:fill="17365D" w:themeFill="text2" w:themeFillShade="BF"/>
        <w:autoSpaceDE w:val="0"/>
        <w:autoSpaceDN w:val="0"/>
        <w:adjustRightInd w:val="0"/>
        <w:spacing w:after="80" w:line="276" w:lineRule="auto"/>
        <w:contextualSpacing/>
        <w:jc w:val="both"/>
        <w:rPr>
          <w:rFonts w:cs="Arial"/>
          <w:b/>
          <w:bCs/>
          <w:color w:val="FFFFFF" w:themeColor="background1"/>
          <w:sz w:val="24"/>
          <w:lang w:val="fr-FR"/>
        </w:rPr>
      </w:pPr>
      <w:r w:rsidRPr="00494DA2">
        <w:rPr>
          <w:rFonts w:cs="Arial"/>
          <w:b/>
          <w:bCs/>
          <w:color w:val="FFFFFF" w:themeColor="background1"/>
          <w:sz w:val="24"/>
          <w:lang w:val="fr-FR"/>
        </w:rPr>
        <w:t xml:space="preserve"> </w:t>
      </w:r>
      <w:r w:rsidR="00494DA2" w:rsidRPr="00494DA2">
        <w:rPr>
          <w:rFonts w:cs="Arial"/>
          <w:b/>
          <w:bCs/>
          <w:color w:val="FFFFFF" w:themeColor="background1"/>
          <w:sz w:val="24"/>
          <w:lang w:val="fr-FR"/>
        </w:rPr>
        <w:t xml:space="preserve">Quelle est la valeur ajoutée de la méthodologie Making </w:t>
      </w:r>
      <w:proofErr w:type="spellStart"/>
      <w:r w:rsidR="00494DA2" w:rsidRPr="00494DA2">
        <w:rPr>
          <w:rFonts w:cs="Arial"/>
          <w:b/>
          <w:bCs/>
          <w:color w:val="FFFFFF" w:themeColor="background1"/>
          <w:sz w:val="24"/>
          <w:lang w:val="fr-FR"/>
        </w:rPr>
        <w:t>it</w:t>
      </w:r>
      <w:proofErr w:type="spellEnd"/>
      <w:r w:rsidR="00494DA2" w:rsidRPr="00494DA2">
        <w:rPr>
          <w:rFonts w:cs="Arial"/>
          <w:b/>
          <w:bCs/>
          <w:color w:val="FFFFFF" w:themeColor="background1"/>
          <w:sz w:val="24"/>
          <w:lang w:val="fr-FR"/>
        </w:rPr>
        <w:t xml:space="preserve"> Work ?</w:t>
      </w:r>
    </w:p>
    <w:p w:rsidR="00205DFE" w:rsidRPr="00494DA2" w:rsidRDefault="00205DFE" w:rsidP="00205DFE">
      <w:pPr>
        <w:autoSpaceDE w:val="0"/>
        <w:autoSpaceDN w:val="0"/>
        <w:adjustRightInd w:val="0"/>
        <w:spacing w:after="80" w:line="276" w:lineRule="auto"/>
        <w:contextualSpacing/>
        <w:jc w:val="both"/>
        <w:rPr>
          <w:rFonts w:eastAsia="Calibri" w:cs="Arial"/>
          <w:sz w:val="24"/>
          <w:lang w:val="fr-FR"/>
        </w:rPr>
      </w:pPr>
    </w:p>
    <w:p w:rsidR="00494DA2" w:rsidRPr="00494DA2" w:rsidRDefault="00494DA2" w:rsidP="00205DFE">
      <w:pPr>
        <w:autoSpaceDE w:val="0"/>
        <w:autoSpaceDN w:val="0"/>
        <w:adjustRightInd w:val="0"/>
        <w:spacing w:after="80" w:line="276" w:lineRule="auto"/>
        <w:contextualSpacing/>
        <w:jc w:val="both"/>
        <w:rPr>
          <w:rFonts w:eastAsia="Calibri" w:cs="Arial"/>
          <w:sz w:val="24"/>
          <w:lang w:val="fr-FR"/>
        </w:rPr>
      </w:pPr>
      <w:r w:rsidRPr="00494DA2">
        <w:rPr>
          <w:rFonts w:eastAsia="Calibri" w:cs="Arial"/>
          <w:sz w:val="24"/>
          <w:lang w:val="fr-FR"/>
        </w:rPr>
        <w:t xml:space="preserve">La méthodologie MIW peut être utilisée </w:t>
      </w:r>
      <w:r>
        <w:rPr>
          <w:rFonts w:eastAsia="Calibri" w:cs="Arial"/>
          <w:sz w:val="24"/>
          <w:lang w:val="fr-FR"/>
        </w:rPr>
        <w:t>à diverses fins :</w:t>
      </w:r>
    </w:p>
    <w:p w:rsidR="00190167" w:rsidRPr="00190167" w:rsidRDefault="00190167" w:rsidP="00205DFE">
      <w:pPr>
        <w:pStyle w:val="Paragraphedeliste"/>
        <w:numPr>
          <w:ilvl w:val="0"/>
          <w:numId w:val="10"/>
        </w:numPr>
        <w:spacing w:after="80"/>
        <w:jc w:val="both"/>
        <w:rPr>
          <w:rFonts w:cs="Arial"/>
        </w:rPr>
      </w:pPr>
      <w:r w:rsidRPr="00190167">
        <w:rPr>
          <w:rStyle w:val="Emphaseintense"/>
          <w:color w:val="17365D" w:themeColor="text2" w:themeShade="BF"/>
        </w:rPr>
        <w:t>Apprendre</w:t>
      </w:r>
      <w:r w:rsidR="00EB03B5" w:rsidRPr="00190167">
        <w:rPr>
          <w:rFonts w:cs="Arial"/>
        </w:rPr>
        <w:t xml:space="preserve">: </w:t>
      </w:r>
      <w:r w:rsidRPr="00190167">
        <w:rPr>
          <w:rFonts w:cs="Arial"/>
        </w:rPr>
        <w:t xml:space="preserve">MIW se base sur des connaissances existantes, </w:t>
      </w:r>
      <w:r w:rsidR="00F66A97">
        <w:rPr>
          <w:rFonts w:cs="Arial"/>
        </w:rPr>
        <w:t xml:space="preserve">et développe de nouveaux savoirs, de nouvelles expertises techniques, à travers le partage d’expériences entre communautés, pays et régions. Cette méthodologie est une opportunité d’apprendre des experts sur les questions de handicap et de développement en général. Elle vise à amener une plus grande visibilité aux questions liées au handicap, </w:t>
      </w:r>
      <w:r w:rsidR="00B05C53">
        <w:rPr>
          <w:rFonts w:cs="Arial"/>
        </w:rPr>
        <w:t>en impliquant des acteurs venant de secteurs divers.</w:t>
      </w:r>
    </w:p>
    <w:p w:rsidR="00B05C53" w:rsidRPr="00B05C53" w:rsidRDefault="00EB03B5" w:rsidP="00205DFE">
      <w:pPr>
        <w:pStyle w:val="Paragraphedeliste"/>
        <w:numPr>
          <w:ilvl w:val="0"/>
          <w:numId w:val="10"/>
        </w:numPr>
        <w:autoSpaceDE w:val="0"/>
        <w:autoSpaceDN w:val="0"/>
        <w:adjustRightInd w:val="0"/>
        <w:spacing w:after="80"/>
        <w:jc w:val="both"/>
        <w:rPr>
          <w:rFonts w:cs="Arial"/>
        </w:rPr>
      </w:pPr>
      <w:r w:rsidRPr="00B05C53">
        <w:rPr>
          <w:rStyle w:val="Emphaseintense"/>
          <w:color w:val="17365D" w:themeColor="text2" w:themeShade="BF"/>
        </w:rPr>
        <w:t>Collabor</w:t>
      </w:r>
      <w:r w:rsidR="00B05C53" w:rsidRPr="00B05C53">
        <w:rPr>
          <w:rStyle w:val="Emphaseintense"/>
          <w:color w:val="17365D" w:themeColor="text2" w:themeShade="BF"/>
        </w:rPr>
        <w:t>er</w:t>
      </w:r>
      <w:r w:rsidRPr="00B05C53">
        <w:rPr>
          <w:rFonts w:cs="Arial"/>
        </w:rPr>
        <w:t xml:space="preserve">: </w:t>
      </w:r>
      <w:r w:rsidR="00B05C53" w:rsidRPr="00B05C53">
        <w:rPr>
          <w:rFonts w:cs="Arial"/>
        </w:rPr>
        <w:t xml:space="preserve">MIW exige des actions multi-acteurs, </w:t>
      </w:r>
      <w:r w:rsidR="00B05C53">
        <w:rPr>
          <w:rFonts w:cs="Arial"/>
        </w:rPr>
        <w:t xml:space="preserve">pour lesquelles plusieurs organisations travaillent ensemble afin de définir, sélectionner, et valider des bonnes pratiques, puis utilisent ces connaissances comme preuves, afin de mener des actions collectives visant un changement (généralement à travers du plaidoyer). Les acteurs en questions peuvent être, mais ne sont pas limités à : des OPH, prestataires de services, autorités gouvernementales, organisations de la société civile, organisations de développement, entités de Droits de </w:t>
      </w:r>
      <w:r w:rsidR="00B05C53">
        <w:rPr>
          <w:rFonts w:cs="Arial"/>
        </w:rPr>
        <w:lastRenderedPageBreak/>
        <w:t xml:space="preserve">l’Homme et universités. La base de données MIW (en ligne) est une plateforme globale utilisée pour partager des solutions concernant le développement inclusif. </w:t>
      </w:r>
    </w:p>
    <w:p w:rsidR="00E729FA" w:rsidRPr="00E729FA" w:rsidRDefault="00E729FA" w:rsidP="00205DFE">
      <w:pPr>
        <w:pStyle w:val="Paragraphedeliste"/>
        <w:numPr>
          <w:ilvl w:val="0"/>
          <w:numId w:val="10"/>
        </w:numPr>
        <w:autoSpaceDE w:val="0"/>
        <w:autoSpaceDN w:val="0"/>
        <w:adjustRightInd w:val="0"/>
        <w:spacing w:after="80"/>
        <w:jc w:val="both"/>
        <w:rPr>
          <w:rFonts w:cs="Arial"/>
        </w:rPr>
      </w:pPr>
      <w:r w:rsidRPr="00E729FA">
        <w:rPr>
          <w:rStyle w:val="Emphaseintense"/>
          <w:color w:val="17365D" w:themeColor="text2" w:themeShade="BF"/>
        </w:rPr>
        <w:t xml:space="preserve">Emanciper </w:t>
      </w:r>
      <w:r w:rsidR="00EB03B5" w:rsidRPr="00E729FA">
        <w:rPr>
          <w:rFonts w:cs="Arial"/>
        </w:rPr>
        <w:t xml:space="preserve">: </w:t>
      </w:r>
      <w:r w:rsidRPr="00E729FA">
        <w:rPr>
          <w:rFonts w:cs="Arial"/>
        </w:rPr>
        <w:t xml:space="preserve">MIW donne une voix aux personnes handicapées et à </w:t>
      </w:r>
      <w:r>
        <w:rPr>
          <w:rFonts w:cs="Arial"/>
        </w:rPr>
        <w:t>l</w:t>
      </w:r>
      <w:r w:rsidRPr="00E729FA">
        <w:rPr>
          <w:rFonts w:cs="Arial"/>
        </w:rPr>
        <w:t>eurs organisations repr</w:t>
      </w:r>
      <w:r>
        <w:rPr>
          <w:rFonts w:cs="Arial"/>
        </w:rPr>
        <w:t>é</w:t>
      </w:r>
      <w:r w:rsidRPr="00E729FA">
        <w:rPr>
          <w:rFonts w:cs="Arial"/>
        </w:rPr>
        <w:t xml:space="preserve">sentatives. </w:t>
      </w:r>
      <w:r>
        <w:rPr>
          <w:rFonts w:cs="Arial"/>
        </w:rPr>
        <w:t>En décidant ce qui a fonctionné, et la manière dont ces actions peuvent être mises à l’échelle, ces acteurs clés ont l’opportunité d’analyser les pratiques, et de formuler par la suite des revendications basées sur des preuves, ou des recommandations pour promouvoir leurs droits.</w:t>
      </w:r>
    </w:p>
    <w:p w:rsidR="00E729FA" w:rsidRPr="00E729FA" w:rsidRDefault="00E729FA" w:rsidP="00205DFE">
      <w:pPr>
        <w:pStyle w:val="Paragraphedeliste"/>
        <w:numPr>
          <w:ilvl w:val="0"/>
          <w:numId w:val="10"/>
        </w:numPr>
        <w:autoSpaceDE w:val="0"/>
        <w:autoSpaceDN w:val="0"/>
        <w:adjustRightInd w:val="0"/>
        <w:spacing w:after="80"/>
        <w:jc w:val="both"/>
        <w:rPr>
          <w:rFonts w:cs="Arial"/>
        </w:rPr>
      </w:pPr>
      <w:r w:rsidRPr="00E729FA">
        <w:rPr>
          <w:rFonts w:cs="Arial"/>
          <w:b/>
          <w:i/>
          <w:color w:val="17365D" w:themeColor="text2" w:themeShade="BF"/>
        </w:rPr>
        <w:t>Mener des actions de plaidoyer et agir pour le changement</w:t>
      </w:r>
      <w:r w:rsidR="00EB03B5" w:rsidRPr="00E729FA">
        <w:rPr>
          <w:rFonts w:cs="Arial"/>
        </w:rPr>
        <w:t xml:space="preserve">: </w:t>
      </w:r>
      <w:r w:rsidRPr="00E729FA">
        <w:rPr>
          <w:rFonts w:cs="Arial"/>
        </w:rPr>
        <w:t xml:space="preserve">MIW peut </w:t>
      </w:r>
      <w:r>
        <w:rPr>
          <w:rFonts w:cs="Arial"/>
        </w:rPr>
        <w:t xml:space="preserve">être utilisé pour générer du changement à travers des actions de plaidoyer, ou des actions diverses telles que  le lobbying, la sensibilisation, les formations techniques, ou du parrainage. Les bonnes pratiques collectées peuvent être utilisées comme preuves crédibles et informations qualitatives sur les changements attendus. </w:t>
      </w:r>
    </w:p>
    <w:p w:rsidR="009229F9" w:rsidRDefault="009229F9">
      <w:pPr>
        <w:spacing w:after="200" w:line="276" w:lineRule="auto"/>
        <w:rPr>
          <w:rFonts w:eastAsiaTheme="minorHAnsi" w:cs="Arial"/>
          <w:szCs w:val="22"/>
          <w:lang w:val="en-US" w:eastAsia="en-US"/>
        </w:rPr>
      </w:pPr>
      <w:r>
        <w:rPr>
          <w:rFonts w:cs="Arial"/>
          <w:lang w:val="en-US"/>
        </w:rPr>
        <w:br w:type="page"/>
      </w:r>
    </w:p>
    <w:p w:rsidR="009229F9" w:rsidRDefault="00383FF5" w:rsidP="004F2C40">
      <w:pPr>
        <w:pBdr>
          <w:top w:val="single" w:sz="4" w:space="1" w:color="auto"/>
          <w:left w:val="single" w:sz="4" w:space="4" w:color="auto"/>
          <w:bottom w:val="single" w:sz="4" w:space="1" w:color="auto"/>
          <w:right w:val="single" w:sz="4" w:space="4" w:color="auto"/>
        </w:pBdr>
        <w:spacing w:after="80"/>
        <w:jc w:val="center"/>
        <w:rPr>
          <w:rFonts w:cs="Arial"/>
          <w:b/>
          <w:bCs/>
          <w:szCs w:val="22"/>
        </w:rPr>
      </w:pPr>
      <w:r>
        <w:rPr>
          <w:rFonts w:cs="Arial"/>
          <w:b/>
          <w:bCs/>
          <w:szCs w:val="22"/>
        </w:rPr>
        <w:lastRenderedPageBreak/>
        <w:t>Example 1: Regional project</w:t>
      </w:r>
      <w:r w:rsidR="009229F9">
        <w:rPr>
          <w:rFonts w:cs="Arial"/>
          <w:b/>
          <w:bCs/>
          <w:szCs w:val="22"/>
        </w:rPr>
        <w:t xml:space="preserve"> on inclusive local governance in West Africa</w:t>
      </w:r>
    </w:p>
    <w:p w:rsidR="009229F9" w:rsidRDefault="009229F9" w:rsidP="009229F9">
      <w:pPr>
        <w:spacing w:after="80"/>
        <w:jc w:val="both"/>
        <w:rPr>
          <w:rFonts w:cs="Arial"/>
          <w:bCs/>
          <w:szCs w:val="22"/>
        </w:rPr>
      </w:pPr>
      <w:r>
        <w:rPr>
          <w:rFonts w:cs="Arial"/>
          <w:bCs/>
          <w:szCs w:val="22"/>
        </w:rPr>
        <w:t>“Rights in A</w:t>
      </w:r>
      <w:r w:rsidR="00383FF5">
        <w:rPr>
          <w:rFonts w:cs="Arial"/>
          <w:bCs/>
          <w:szCs w:val="22"/>
        </w:rPr>
        <w:t>ction” was a regional project</w:t>
      </w:r>
      <w:r>
        <w:rPr>
          <w:rFonts w:cs="Arial"/>
          <w:bCs/>
          <w:szCs w:val="22"/>
        </w:rPr>
        <w:t xml:space="preserve"> to document and disseminate good practices on people with disabilities and their representative organisations actively participating in local governance in West Africa. With a focus on Articl</w:t>
      </w:r>
      <w:r w:rsidR="00383FF5">
        <w:rPr>
          <w:rFonts w:cs="Arial"/>
          <w:bCs/>
          <w:szCs w:val="22"/>
        </w:rPr>
        <w:t>e 29 of the CRPD, the project</w:t>
      </w:r>
      <w:r>
        <w:rPr>
          <w:rFonts w:cs="Arial"/>
          <w:bCs/>
          <w:szCs w:val="22"/>
        </w:rPr>
        <w:t xml:space="preserve"> was carried out on a regional level in which 26 good practices were collected in Benin, Burkina Faso, Mali, Niger, Senegal, Sierra Leone and Togo. </w:t>
      </w:r>
    </w:p>
    <w:p w:rsidR="009229F9" w:rsidRDefault="009229F9" w:rsidP="009229F9">
      <w:pPr>
        <w:spacing w:after="80"/>
        <w:jc w:val="both"/>
        <w:rPr>
          <w:rFonts w:cs="Arial"/>
          <w:bCs/>
          <w:szCs w:val="22"/>
        </w:rPr>
      </w:pPr>
      <w:r>
        <w:rPr>
          <w:rFonts w:cs="Arial"/>
          <w:bCs/>
          <w:szCs w:val="22"/>
        </w:rPr>
        <w:br/>
      </w:r>
      <w:proofErr w:type="gramStart"/>
      <w:r>
        <w:rPr>
          <w:rFonts w:cs="Arial"/>
          <w:bCs/>
          <w:szCs w:val="22"/>
        </w:rPr>
        <w:t>Rights in Action was</w:t>
      </w:r>
      <w:proofErr w:type="gramEnd"/>
      <w:r>
        <w:rPr>
          <w:rFonts w:cs="Arial"/>
          <w:bCs/>
          <w:szCs w:val="22"/>
        </w:rPr>
        <w:t xml:space="preserve"> carried out with a regional multi-stakeholder committee as well as national level steering committees that included DPOs, development, civil society and government actors.</w:t>
      </w:r>
      <w:r>
        <w:rPr>
          <w:rFonts w:cs="Arial"/>
          <w:bCs/>
          <w:szCs w:val="22"/>
        </w:rPr>
        <w:tab/>
      </w:r>
    </w:p>
    <w:p w:rsidR="009229F9" w:rsidRDefault="009229F9" w:rsidP="009229F9">
      <w:pPr>
        <w:spacing w:after="80"/>
        <w:jc w:val="both"/>
        <w:rPr>
          <w:rFonts w:cs="Arial"/>
          <w:bCs/>
          <w:szCs w:val="22"/>
        </w:rPr>
      </w:pPr>
      <w:r>
        <w:rPr>
          <w:rFonts w:cs="Arial"/>
          <w:bCs/>
          <w:szCs w:val="22"/>
        </w:rPr>
        <w:t xml:space="preserve">Outcomes from this initiative: </w:t>
      </w:r>
    </w:p>
    <w:p w:rsidR="009229F9" w:rsidRDefault="009229F9" w:rsidP="009229F9">
      <w:pPr>
        <w:numPr>
          <w:ilvl w:val="0"/>
          <w:numId w:val="11"/>
        </w:numPr>
        <w:spacing w:after="80"/>
        <w:jc w:val="both"/>
        <w:rPr>
          <w:rFonts w:cs="Arial"/>
          <w:bCs/>
          <w:szCs w:val="22"/>
        </w:rPr>
      </w:pPr>
      <w:r>
        <w:rPr>
          <w:rFonts w:cs="Arial"/>
          <w:b/>
          <w:szCs w:val="22"/>
        </w:rPr>
        <w:t>Local level:</w:t>
      </w:r>
      <w:r>
        <w:rPr>
          <w:rFonts w:cs="Arial"/>
          <w:bCs/>
          <w:szCs w:val="22"/>
        </w:rPr>
        <w:t xml:space="preserve"> replication of a good practice in a neighbouring village in Burkina Faso. </w:t>
      </w:r>
    </w:p>
    <w:p w:rsidR="009229F9" w:rsidRDefault="009229F9" w:rsidP="009229F9">
      <w:pPr>
        <w:numPr>
          <w:ilvl w:val="0"/>
          <w:numId w:val="11"/>
        </w:numPr>
        <w:spacing w:after="80"/>
        <w:jc w:val="both"/>
        <w:rPr>
          <w:rFonts w:cs="Arial"/>
          <w:bCs/>
          <w:szCs w:val="22"/>
        </w:rPr>
      </w:pPr>
      <w:r>
        <w:rPr>
          <w:rFonts w:cs="Arial"/>
          <w:b/>
          <w:szCs w:val="22"/>
        </w:rPr>
        <w:t>Regional level:</w:t>
      </w:r>
      <w:r>
        <w:rPr>
          <w:rFonts w:cs="Arial"/>
          <w:bCs/>
          <w:szCs w:val="22"/>
        </w:rPr>
        <w:t xml:space="preserve"> Strong representation and promotion of local inclusive governance during the </w:t>
      </w:r>
      <w:proofErr w:type="spellStart"/>
      <w:r>
        <w:rPr>
          <w:rFonts w:cs="Arial"/>
          <w:bCs/>
          <w:szCs w:val="22"/>
        </w:rPr>
        <w:t>Africities</w:t>
      </w:r>
      <w:proofErr w:type="spellEnd"/>
      <w:r>
        <w:rPr>
          <w:rFonts w:cs="Arial"/>
          <w:bCs/>
          <w:szCs w:val="22"/>
        </w:rPr>
        <w:t xml:space="preserve"> Summit held in Dakar, December 2012.</w:t>
      </w:r>
    </w:p>
    <w:p w:rsidR="009229F9" w:rsidRDefault="009229F9" w:rsidP="009229F9">
      <w:pPr>
        <w:numPr>
          <w:ilvl w:val="0"/>
          <w:numId w:val="11"/>
        </w:numPr>
        <w:spacing w:after="80"/>
        <w:jc w:val="both"/>
        <w:rPr>
          <w:rFonts w:cs="Arial"/>
          <w:bCs/>
          <w:szCs w:val="22"/>
        </w:rPr>
      </w:pPr>
      <w:r>
        <w:rPr>
          <w:rFonts w:cs="Arial"/>
          <w:b/>
          <w:szCs w:val="22"/>
        </w:rPr>
        <w:t>International level:</w:t>
      </w:r>
      <w:r>
        <w:rPr>
          <w:rFonts w:cs="Arial"/>
          <w:bCs/>
          <w:szCs w:val="22"/>
        </w:rPr>
        <w:t xml:space="preserve"> The president of the Malian Federation of Associations of Disabled People presented the good practices collected in Mali at the Conference of States Parties to the CRPD held in New York in September 2011 and recommendations from the good practices were also used to influence the Human Rights Committee resolution on article 29.</w:t>
      </w:r>
    </w:p>
    <w:p w:rsidR="004F2C40" w:rsidRDefault="004F2C40" w:rsidP="009229F9">
      <w:pPr>
        <w:spacing w:after="80"/>
        <w:jc w:val="both"/>
        <w:rPr>
          <w:rFonts w:cs="Arial"/>
          <w:b/>
          <w:bCs/>
          <w:szCs w:val="22"/>
        </w:rPr>
      </w:pPr>
    </w:p>
    <w:p w:rsidR="009229F9" w:rsidRDefault="00383FF5" w:rsidP="004F2C40">
      <w:pPr>
        <w:pBdr>
          <w:top w:val="single" w:sz="4" w:space="1" w:color="auto"/>
          <w:left w:val="single" w:sz="4" w:space="4" w:color="auto"/>
          <w:bottom w:val="single" w:sz="4" w:space="1" w:color="auto"/>
          <w:right w:val="single" w:sz="4" w:space="4" w:color="auto"/>
        </w:pBdr>
        <w:spacing w:after="80"/>
        <w:jc w:val="center"/>
        <w:rPr>
          <w:rFonts w:cs="Arial"/>
          <w:b/>
          <w:bCs/>
          <w:szCs w:val="22"/>
        </w:rPr>
      </w:pPr>
      <w:r>
        <w:rPr>
          <w:rFonts w:cs="Arial"/>
          <w:b/>
          <w:bCs/>
          <w:szCs w:val="22"/>
        </w:rPr>
        <w:t>Example 2: National project</w:t>
      </w:r>
      <w:r w:rsidR="009229F9">
        <w:rPr>
          <w:rFonts w:cs="Arial"/>
          <w:b/>
          <w:bCs/>
          <w:szCs w:val="22"/>
        </w:rPr>
        <w:t xml:space="preserve"> on promoting the right to work for people with disabilities in El Salvador</w:t>
      </w:r>
    </w:p>
    <w:p w:rsidR="009229F9" w:rsidRDefault="009229F9" w:rsidP="009229F9">
      <w:pPr>
        <w:spacing w:after="80"/>
        <w:jc w:val="both"/>
        <w:rPr>
          <w:rFonts w:cs="Arial"/>
          <w:bCs/>
          <w:szCs w:val="22"/>
        </w:rPr>
      </w:pPr>
      <w:r>
        <w:rPr>
          <w:rFonts w:cs="Arial"/>
          <w:bCs/>
          <w:szCs w:val="22"/>
        </w:rPr>
        <w:t xml:space="preserve">In this national-level Making it Work </w:t>
      </w:r>
      <w:r w:rsidR="00383FF5">
        <w:rPr>
          <w:rFonts w:cs="Arial"/>
          <w:bCs/>
          <w:szCs w:val="22"/>
        </w:rPr>
        <w:t>project</w:t>
      </w:r>
      <w:r>
        <w:rPr>
          <w:rFonts w:cs="Arial"/>
          <w:bCs/>
          <w:szCs w:val="22"/>
        </w:rPr>
        <w:t>, DPOs, private companies and national authorities worked together to collect good practices on inclusive employment of people with disabilities. They used the findings to train leaders of national DPOs and other relevant stakeholders on inclusive employment.</w:t>
      </w:r>
    </w:p>
    <w:p w:rsidR="009229F9" w:rsidRDefault="009229F9" w:rsidP="009229F9">
      <w:pPr>
        <w:spacing w:after="80"/>
        <w:jc w:val="both"/>
        <w:rPr>
          <w:rFonts w:cs="Arial"/>
          <w:b/>
          <w:szCs w:val="22"/>
        </w:rPr>
      </w:pPr>
      <w:r>
        <w:rPr>
          <w:rFonts w:cs="Arial"/>
          <w:b/>
          <w:szCs w:val="22"/>
        </w:rPr>
        <w:t>National-lev</w:t>
      </w:r>
      <w:r w:rsidR="00383FF5">
        <w:rPr>
          <w:rFonts w:cs="Arial"/>
          <w:b/>
          <w:szCs w:val="22"/>
        </w:rPr>
        <w:t>el outcomes from this project</w:t>
      </w:r>
      <w:r>
        <w:rPr>
          <w:rFonts w:cs="Arial"/>
          <w:b/>
          <w:szCs w:val="22"/>
        </w:rPr>
        <w:t>:</w:t>
      </w:r>
    </w:p>
    <w:p w:rsidR="009229F9" w:rsidRDefault="009229F9" w:rsidP="009229F9">
      <w:pPr>
        <w:numPr>
          <w:ilvl w:val="0"/>
          <w:numId w:val="12"/>
        </w:numPr>
        <w:spacing w:after="80"/>
        <w:jc w:val="both"/>
        <w:rPr>
          <w:rFonts w:cs="Arial"/>
          <w:bCs/>
          <w:szCs w:val="22"/>
        </w:rPr>
      </w:pPr>
      <w:r>
        <w:rPr>
          <w:rFonts w:cs="Arial"/>
          <w:bCs/>
          <w:szCs w:val="22"/>
        </w:rPr>
        <w:t>The El Salvador Ministry of Labour was influenced to amend labour laws to be more inclusive.</w:t>
      </w:r>
    </w:p>
    <w:p w:rsidR="00AA0DE1" w:rsidRPr="004F2C40" w:rsidRDefault="009229F9" w:rsidP="004F2C40">
      <w:pPr>
        <w:numPr>
          <w:ilvl w:val="0"/>
          <w:numId w:val="12"/>
        </w:numPr>
        <w:spacing w:after="80"/>
        <w:jc w:val="both"/>
        <w:rPr>
          <w:rFonts w:cs="Arial"/>
          <w:bCs/>
          <w:szCs w:val="22"/>
        </w:rPr>
      </w:pPr>
      <w:proofErr w:type="spellStart"/>
      <w:r>
        <w:rPr>
          <w:rFonts w:cs="Arial"/>
          <w:bCs/>
          <w:szCs w:val="22"/>
        </w:rPr>
        <w:t>UniLever</w:t>
      </w:r>
      <w:proofErr w:type="spellEnd"/>
      <w:r>
        <w:rPr>
          <w:rFonts w:cs="Arial"/>
          <w:bCs/>
          <w:szCs w:val="22"/>
        </w:rPr>
        <w:t xml:space="preserve"> El Salvador (a large private company and major employer in the region) designed an inclusive model for recruiting people with disabilities. </w:t>
      </w:r>
    </w:p>
    <w:sectPr w:rsidR="00AA0DE1" w:rsidRPr="004F2C4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775" w:rsidRDefault="00641775" w:rsidP="009229F9">
      <w:r>
        <w:separator/>
      </w:r>
    </w:p>
  </w:endnote>
  <w:endnote w:type="continuationSeparator" w:id="0">
    <w:p w:rsidR="00641775" w:rsidRDefault="00641775" w:rsidP="0092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F9" w:rsidRDefault="009229F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F9" w:rsidRDefault="009229F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F9" w:rsidRDefault="009229F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775" w:rsidRDefault="00641775" w:rsidP="009229F9">
      <w:r>
        <w:separator/>
      </w:r>
    </w:p>
  </w:footnote>
  <w:footnote w:type="continuationSeparator" w:id="0">
    <w:p w:rsidR="00641775" w:rsidRDefault="00641775" w:rsidP="00922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F9" w:rsidRDefault="009229F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F9" w:rsidRDefault="009229F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F9" w:rsidRDefault="009229F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F71"/>
    <w:multiLevelType w:val="hybridMultilevel"/>
    <w:tmpl w:val="7E82C878"/>
    <w:lvl w:ilvl="0" w:tplc="040C0001">
      <w:start w:val="1"/>
      <w:numFmt w:val="bullet"/>
      <w:lvlText w:val=""/>
      <w:lvlJc w:val="left"/>
      <w:pPr>
        <w:ind w:left="720" w:hanging="360"/>
      </w:pPr>
      <w:rPr>
        <w:rFonts w:ascii="Symbol" w:hAnsi="Symbol" w:hint="default"/>
      </w:rPr>
    </w:lvl>
    <w:lvl w:ilvl="1" w:tplc="3970EC56">
      <w:start w:val="2"/>
      <w:numFmt w:val="bullet"/>
      <w:lvlText w:val="-"/>
      <w:lvlJc w:val="left"/>
      <w:pPr>
        <w:ind w:left="1440" w:hanging="360"/>
      </w:pPr>
      <w:rPr>
        <w:rFonts w:ascii="Calibri" w:eastAsia="Times New Roman" w:hAnsi="Calibri"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3B4107"/>
    <w:multiLevelType w:val="hybridMultilevel"/>
    <w:tmpl w:val="1AB61E30"/>
    <w:lvl w:ilvl="0" w:tplc="19344B0A">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C14863"/>
    <w:multiLevelType w:val="hybridMultilevel"/>
    <w:tmpl w:val="10E0D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55768"/>
    <w:multiLevelType w:val="hybridMultilevel"/>
    <w:tmpl w:val="E4F403C0"/>
    <w:lvl w:ilvl="0" w:tplc="4BFA255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A8047E1"/>
    <w:multiLevelType w:val="hybridMultilevel"/>
    <w:tmpl w:val="9ACAA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39242AA"/>
    <w:multiLevelType w:val="hybridMultilevel"/>
    <w:tmpl w:val="4E187F20"/>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alibri"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alibri"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alibri"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563E61B2"/>
    <w:multiLevelType w:val="hybridMultilevel"/>
    <w:tmpl w:val="F5B6F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6DD3665"/>
    <w:multiLevelType w:val="hybridMultilevel"/>
    <w:tmpl w:val="1E8A0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C660FF1"/>
    <w:multiLevelType w:val="hybridMultilevel"/>
    <w:tmpl w:val="58CE6EDC"/>
    <w:lvl w:ilvl="0" w:tplc="3970EC56">
      <w:start w:val="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7F96282"/>
    <w:multiLevelType w:val="hybridMultilevel"/>
    <w:tmpl w:val="174CFCF2"/>
    <w:lvl w:ilvl="0" w:tplc="ADB4702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C657D65"/>
    <w:multiLevelType w:val="hybridMultilevel"/>
    <w:tmpl w:val="4B94C85A"/>
    <w:lvl w:ilvl="0" w:tplc="16925FC0">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7F5400DD"/>
    <w:multiLevelType w:val="hybridMultilevel"/>
    <w:tmpl w:val="B16065C2"/>
    <w:lvl w:ilvl="0" w:tplc="3970EC56">
      <w:start w:val="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4"/>
  </w:num>
  <w:num w:numId="4">
    <w:abstractNumId w:val="6"/>
  </w:num>
  <w:num w:numId="5">
    <w:abstractNumId w:val="5"/>
  </w:num>
  <w:num w:numId="6">
    <w:abstractNumId w:val="2"/>
  </w:num>
  <w:num w:numId="7">
    <w:abstractNumId w:val="8"/>
  </w:num>
  <w:num w:numId="8">
    <w:abstractNumId w:val="0"/>
  </w:num>
  <w:num w:numId="9">
    <w:abstractNumId w:val="11"/>
  </w:num>
  <w:num w:numId="10">
    <w:abstractNumId w:val="1"/>
  </w:num>
  <w:num w:numId="11">
    <w:abstractNumId w:val="7"/>
  </w:num>
  <w:num w:numId="12">
    <w:abstractNumId w:val="4"/>
  </w:num>
  <w:num w:numId="13">
    <w:abstractNumId w:val="6"/>
  </w:num>
  <w:num w:numId="14">
    <w:abstractNumId w:val="9"/>
  </w:num>
  <w:num w:numId="15">
    <w:abstractNumId w:val="2"/>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E8"/>
    <w:rsid w:val="000052B9"/>
    <w:rsid w:val="0004181A"/>
    <w:rsid w:val="00055DAB"/>
    <w:rsid w:val="00190167"/>
    <w:rsid w:val="001B17AA"/>
    <w:rsid w:val="00205DFE"/>
    <w:rsid w:val="00286944"/>
    <w:rsid w:val="002C2237"/>
    <w:rsid w:val="002C781A"/>
    <w:rsid w:val="002D2269"/>
    <w:rsid w:val="00383FF5"/>
    <w:rsid w:val="003B7EED"/>
    <w:rsid w:val="003E4A1A"/>
    <w:rsid w:val="003F0DA8"/>
    <w:rsid w:val="00410025"/>
    <w:rsid w:val="00494DA2"/>
    <w:rsid w:val="004A7CA2"/>
    <w:rsid w:val="004B1074"/>
    <w:rsid w:val="004F2C40"/>
    <w:rsid w:val="00584FF2"/>
    <w:rsid w:val="005B78F8"/>
    <w:rsid w:val="005C01FE"/>
    <w:rsid w:val="005F733C"/>
    <w:rsid w:val="00621BA7"/>
    <w:rsid w:val="00641775"/>
    <w:rsid w:val="00654198"/>
    <w:rsid w:val="00705D25"/>
    <w:rsid w:val="00705FFA"/>
    <w:rsid w:val="00734574"/>
    <w:rsid w:val="0073659F"/>
    <w:rsid w:val="007C5656"/>
    <w:rsid w:val="007E70A9"/>
    <w:rsid w:val="007F59B4"/>
    <w:rsid w:val="00804BEA"/>
    <w:rsid w:val="0084096D"/>
    <w:rsid w:val="00865325"/>
    <w:rsid w:val="008B1F0F"/>
    <w:rsid w:val="008C7004"/>
    <w:rsid w:val="0092098E"/>
    <w:rsid w:val="009229F9"/>
    <w:rsid w:val="009F0AC4"/>
    <w:rsid w:val="00A55C4F"/>
    <w:rsid w:val="00A92828"/>
    <w:rsid w:val="00AA0DE1"/>
    <w:rsid w:val="00AF22EA"/>
    <w:rsid w:val="00B05C53"/>
    <w:rsid w:val="00B46494"/>
    <w:rsid w:val="00B80BE8"/>
    <w:rsid w:val="00B84353"/>
    <w:rsid w:val="00BA52DC"/>
    <w:rsid w:val="00C769C4"/>
    <w:rsid w:val="00CD5D15"/>
    <w:rsid w:val="00CF4755"/>
    <w:rsid w:val="00D661AE"/>
    <w:rsid w:val="00DD6A89"/>
    <w:rsid w:val="00E03C49"/>
    <w:rsid w:val="00E362A7"/>
    <w:rsid w:val="00E729FA"/>
    <w:rsid w:val="00E81CEA"/>
    <w:rsid w:val="00EB03B5"/>
    <w:rsid w:val="00F056FB"/>
    <w:rsid w:val="00F337AB"/>
    <w:rsid w:val="00F60942"/>
    <w:rsid w:val="00F66A97"/>
    <w:rsid w:val="00FB578D"/>
    <w:rsid w:val="00FE77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BE8"/>
    <w:pPr>
      <w:spacing w:after="0" w:line="240" w:lineRule="auto"/>
    </w:pPr>
    <w:rPr>
      <w:rFonts w:eastAsia="Times New Roman" w:cs="Times New Roman"/>
      <w:szCs w:val="24"/>
      <w:lang w:val="en-GB" w:eastAsia="fr-FR"/>
    </w:rPr>
  </w:style>
  <w:style w:type="paragraph" w:styleId="Titre2">
    <w:name w:val="heading 2"/>
    <w:basedOn w:val="Normal"/>
    <w:next w:val="Normal"/>
    <w:link w:val="Titre2Car"/>
    <w:uiPriority w:val="9"/>
    <w:unhideWhenUsed/>
    <w:qFormat/>
    <w:rsid w:val="00E81CEA"/>
    <w:pPr>
      <w:keepNext/>
      <w:keepLines/>
      <w:spacing w:before="200"/>
      <w:outlineLvl w:val="1"/>
    </w:pPr>
    <w:rPr>
      <w:rFonts w:asciiTheme="majorHAnsi" w:eastAsiaTheme="majorEastAsia" w:hAnsiTheme="majorHAnsi" w:cstheme="majorBidi"/>
      <w:b/>
      <w:bCs/>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lorfulList-Accent11">
    <w:name w:val="Colorful List - Accent 11"/>
    <w:basedOn w:val="Normal"/>
    <w:uiPriority w:val="34"/>
    <w:qFormat/>
    <w:rsid w:val="00B80BE8"/>
    <w:pPr>
      <w:spacing w:before="80" w:after="100"/>
      <w:ind w:left="720"/>
      <w:contextualSpacing/>
      <w:jc w:val="both"/>
    </w:pPr>
    <w:rPr>
      <w:rFonts w:ascii="Cambria" w:eastAsia="MS ??" w:hAnsi="Cambria"/>
      <w:sz w:val="24"/>
      <w:lang w:val="es-ES_tradnl" w:eastAsia="en-US"/>
    </w:rPr>
  </w:style>
  <w:style w:type="paragraph" w:styleId="Paragraphedeliste">
    <w:name w:val="List Paragraph"/>
    <w:basedOn w:val="Normal"/>
    <w:link w:val="ParagraphedelisteCar"/>
    <w:uiPriority w:val="34"/>
    <w:qFormat/>
    <w:rsid w:val="00B80BE8"/>
    <w:pPr>
      <w:spacing w:after="200" w:line="276" w:lineRule="auto"/>
      <w:ind w:left="720"/>
      <w:contextualSpacing/>
    </w:pPr>
    <w:rPr>
      <w:rFonts w:eastAsiaTheme="minorHAnsi" w:cstheme="minorBidi"/>
      <w:szCs w:val="22"/>
      <w:lang w:val="fr-FR" w:eastAsia="en-US"/>
    </w:rPr>
  </w:style>
  <w:style w:type="character" w:customStyle="1" w:styleId="ParagraphedelisteCar">
    <w:name w:val="Paragraphe de liste Car"/>
    <w:basedOn w:val="Policepardfaut"/>
    <w:link w:val="Paragraphedeliste"/>
    <w:uiPriority w:val="34"/>
    <w:locked/>
    <w:rsid w:val="00B80BE8"/>
  </w:style>
  <w:style w:type="character" w:styleId="Lienhypertexte">
    <w:name w:val="Hyperlink"/>
    <w:rsid w:val="00B80BE8"/>
    <w:rPr>
      <w:color w:val="0000FF"/>
      <w:u w:val="single"/>
    </w:rPr>
  </w:style>
  <w:style w:type="paragraph" w:styleId="Textedebulles">
    <w:name w:val="Balloon Text"/>
    <w:basedOn w:val="Normal"/>
    <w:link w:val="TextedebullesCar"/>
    <w:uiPriority w:val="99"/>
    <w:semiHidden/>
    <w:unhideWhenUsed/>
    <w:rsid w:val="00B80BE8"/>
    <w:rPr>
      <w:rFonts w:ascii="Tahoma" w:hAnsi="Tahoma" w:cs="Tahoma"/>
      <w:sz w:val="16"/>
      <w:szCs w:val="16"/>
    </w:rPr>
  </w:style>
  <w:style w:type="character" w:customStyle="1" w:styleId="TextedebullesCar">
    <w:name w:val="Texte de bulles Car"/>
    <w:basedOn w:val="Policepardfaut"/>
    <w:link w:val="Textedebulles"/>
    <w:uiPriority w:val="99"/>
    <w:semiHidden/>
    <w:rsid w:val="00B80BE8"/>
    <w:rPr>
      <w:rFonts w:ascii="Tahoma" w:eastAsia="Times New Roman" w:hAnsi="Tahoma" w:cs="Tahoma"/>
      <w:sz w:val="16"/>
      <w:szCs w:val="16"/>
      <w:lang w:val="en-GB" w:eastAsia="fr-FR"/>
    </w:rPr>
  </w:style>
  <w:style w:type="character" w:styleId="Emphaseintense">
    <w:name w:val="Intense Emphasis"/>
    <w:basedOn w:val="Policepardfaut"/>
    <w:uiPriority w:val="21"/>
    <w:qFormat/>
    <w:rsid w:val="00EB03B5"/>
    <w:rPr>
      <w:b/>
      <w:bCs/>
      <w:i/>
      <w:iCs/>
      <w:color w:val="4F81BD" w:themeColor="accent1"/>
    </w:rPr>
  </w:style>
  <w:style w:type="character" w:customStyle="1" w:styleId="Titre2Car">
    <w:name w:val="Titre 2 Car"/>
    <w:basedOn w:val="Policepardfaut"/>
    <w:link w:val="Titre2"/>
    <w:uiPriority w:val="9"/>
    <w:rsid w:val="00E81CEA"/>
    <w:rPr>
      <w:rFonts w:asciiTheme="majorHAnsi" w:eastAsiaTheme="majorEastAsia" w:hAnsiTheme="majorHAnsi" w:cstheme="majorBidi"/>
      <w:b/>
      <w:bCs/>
      <w:color w:val="365F91" w:themeColor="accent1" w:themeShade="BF"/>
      <w:sz w:val="26"/>
      <w:szCs w:val="26"/>
      <w:lang w:val="en-GB" w:eastAsia="fr-FR"/>
    </w:rPr>
  </w:style>
  <w:style w:type="table" w:styleId="Grilledutableau">
    <w:name w:val="Table Grid"/>
    <w:basedOn w:val="TableauNormal"/>
    <w:uiPriority w:val="59"/>
    <w:rsid w:val="00E81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229F9"/>
    <w:pPr>
      <w:tabs>
        <w:tab w:val="center" w:pos="4536"/>
        <w:tab w:val="right" w:pos="9072"/>
      </w:tabs>
    </w:pPr>
  </w:style>
  <w:style w:type="character" w:customStyle="1" w:styleId="En-tteCar">
    <w:name w:val="En-tête Car"/>
    <w:basedOn w:val="Policepardfaut"/>
    <w:link w:val="En-tte"/>
    <w:uiPriority w:val="99"/>
    <w:rsid w:val="009229F9"/>
    <w:rPr>
      <w:rFonts w:eastAsia="Times New Roman" w:cs="Times New Roman"/>
      <w:szCs w:val="24"/>
      <w:lang w:val="en-GB" w:eastAsia="fr-FR"/>
    </w:rPr>
  </w:style>
  <w:style w:type="paragraph" w:styleId="Pieddepage">
    <w:name w:val="footer"/>
    <w:basedOn w:val="Normal"/>
    <w:link w:val="PieddepageCar"/>
    <w:uiPriority w:val="99"/>
    <w:unhideWhenUsed/>
    <w:rsid w:val="009229F9"/>
    <w:pPr>
      <w:tabs>
        <w:tab w:val="center" w:pos="4536"/>
        <w:tab w:val="right" w:pos="9072"/>
      </w:tabs>
    </w:pPr>
  </w:style>
  <w:style w:type="character" w:customStyle="1" w:styleId="PieddepageCar">
    <w:name w:val="Pied de page Car"/>
    <w:basedOn w:val="Policepardfaut"/>
    <w:link w:val="Pieddepage"/>
    <w:uiPriority w:val="99"/>
    <w:rsid w:val="009229F9"/>
    <w:rPr>
      <w:rFonts w:eastAsia="Times New Roman" w:cs="Times New Roman"/>
      <w:szCs w:val="24"/>
      <w:lang w:val="en-GB" w:eastAsia="fr-FR"/>
    </w:rPr>
  </w:style>
  <w:style w:type="character" w:styleId="Marquedecommentaire">
    <w:name w:val="annotation reference"/>
    <w:basedOn w:val="Policepardfaut"/>
    <w:uiPriority w:val="99"/>
    <w:semiHidden/>
    <w:unhideWhenUsed/>
    <w:rsid w:val="00CD5D15"/>
    <w:rPr>
      <w:sz w:val="16"/>
      <w:szCs w:val="16"/>
    </w:rPr>
  </w:style>
  <w:style w:type="paragraph" w:styleId="Commentaire">
    <w:name w:val="annotation text"/>
    <w:basedOn w:val="Normal"/>
    <w:link w:val="CommentaireCar"/>
    <w:uiPriority w:val="99"/>
    <w:semiHidden/>
    <w:unhideWhenUsed/>
    <w:rsid w:val="00CD5D15"/>
    <w:rPr>
      <w:sz w:val="20"/>
      <w:szCs w:val="20"/>
    </w:rPr>
  </w:style>
  <w:style w:type="character" w:customStyle="1" w:styleId="CommentaireCar">
    <w:name w:val="Commentaire Car"/>
    <w:basedOn w:val="Policepardfaut"/>
    <w:link w:val="Commentaire"/>
    <w:uiPriority w:val="99"/>
    <w:semiHidden/>
    <w:rsid w:val="00CD5D15"/>
    <w:rPr>
      <w:rFonts w:eastAsia="Times New Roman" w:cs="Times New Roman"/>
      <w:sz w:val="20"/>
      <w:szCs w:val="20"/>
      <w:lang w:val="en-GB" w:eastAsia="fr-FR"/>
    </w:rPr>
  </w:style>
  <w:style w:type="paragraph" w:styleId="Objetducommentaire">
    <w:name w:val="annotation subject"/>
    <w:basedOn w:val="Commentaire"/>
    <w:next w:val="Commentaire"/>
    <w:link w:val="ObjetducommentaireCar"/>
    <w:uiPriority w:val="99"/>
    <w:semiHidden/>
    <w:unhideWhenUsed/>
    <w:rsid w:val="00CD5D15"/>
    <w:rPr>
      <w:b/>
      <w:bCs/>
    </w:rPr>
  </w:style>
  <w:style w:type="character" w:customStyle="1" w:styleId="ObjetducommentaireCar">
    <w:name w:val="Objet du commentaire Car"/>
    <w:basedOn w:val="CommentaireCar"/>
    <w:link w:val="Objetducommentaire"/>
    <w:uiPriority w:val="99"/>
    <w:semiHidden/>
    <w:rsid w:val="00CD5D15"/>
    <w:rPr>
      <w:rFonts w:eastAsia="Times New Roman" w:cs="Times New Roman"/>
      <w:b/>
      <w:bCs/>
      <w:sz w:val="20"/>
      <w:szCs w:val="20"/>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BE8"/>
    <w:pPr>
      <w:spacing w:after="0" w:line="240" w:lineRule="auto"/>
    </w:pPr>
    <w:rPr>
      <w:rFonts w:eastAsia="Times New Roman" w:cs="Times New Roman"/>
      <w:szCs w:val="24"/>
      <w:lang w:val="en-GB" w:eastAsia="fr-FR"/>
    </w:rPr>
  </w:style>
  <w:style w:type="paragraph" w:styleId="Titre2">
    <w:name w:val="heading 2"/>
    <w:basedOn w:val="Normal"/>
    <w:next w:val="Normal"/>
    <w:link w:val="Titre2Car"/>
    <w:uiPriority w:val="9"/>
    <w:unhideWhenUsed/>
    <w:qFormat/>
    <w:rsid w:val="00E81CEA"/>
    <w:pPr>
      <w:keepNext/>
      <w:keepLines/>
      <w:spacing w:before="200"/>
      <w:outlineLvl w:val="1"/>
    </w:pPr>
    <w:rPr>
      <w:rFonts w:asciiTheme="majorHAnsi" w:eastAsiaTheme="majorEastAsia" w:hAnsiTheme="majorHAnsi" w:cstheme="majorBidi"/>
      <w:b/>
      <w:bCs/>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lorfulList-Accent11">
    <w:name w:val="Colorful List - Accent 11"/>
    <w:basedOn w:val="Normal"/>
    <w:uiPriority w:val="34"/>
    <w:qFormat/>
    <w:rsid w:val="00B80BE8"/>
    <w:pPr>
      <w:spacing w:before="80" w:after="100"/>
      <w:ind w:left="720"/>
      <w:contextualSpacing/>
      <w:jc w:val="both"/>
    </w:pPr>
    <w:rPr>
      <w:rFonts w:ascii="Cambria" w:eastAsia="MS ??" w:hAnsi="Cambria"/>
      <w:sz w:val="24"/>
      <w:lang w:val="es-ES_tradnl" w:eastAsia="en-US"/>
    </w:rPr>
  </w:style>
  <w:style w:type="paragraph" w:styleId="Paragraphedeliste">
    <w:name w:val="List Paragraph"/>
    <w:basedOn w:val="Normal"/>
    <w:link w:val="ParagraphedelisteCar"/>
    <w:uiPriority w:val="34"/>
    <w:qFormat/>
    <w:rsid w:val="00B80BE8"/>
    <w:pPr>
      <w:spacing w:after="200" w:line="276" w:lineRule="auto"/>
      <w:ind w:left="720"/>
      <w:contextualSpacing/>
    </w:pPr>
    <w:rPr>
      <w:rFonts w:eastAsiaTheme="minorHAnsi" w:cstheme="minorBidi"/>
      <w:szCs w:val="22"/>
      <w:lang w:val="fr-FR" w:eastAsia="en-US"/>
    </w:rPr>
  </w:style>
  <w:style w:type="character" w:customStyle="1" w:styleId="ParagraphedelisteCar">
    <w:name w:val="Paragraphe de liste Car"/>
    <w:basedOn w:val="Policepardfaut"/>
    <w:link w:val="Paragraphedeliste"/>
    <w:uiPriority w:val="34"/>
    <w:locked/>
    <w:rsid w:val="00B80BE8"/>
  </w:style>
  <w:style w:type="character" w:styleId="Lienhypertexte">
    <w:name w:val="Hyperlink"/>
    <w:rsid w:val="00B80BE8"/>
    <w:rPr>
      <w:color w:val="0000FF"/>
      <w:u w:val="single"/>
    </w:rPr>
  </w:style>
  <w:style w:type="paragraph" w:styleId="Textedebulles">
    <w:name w:val="Balloon Text"/>
    <w:basedOn w:val="Normal"/>
    <w:link w:val="TextedebullesCar"/>
    <w:uiPriority w:val="99"/>
    <w:semiHidden/>
    <w:unhideWhenUsed/>
    <w:rsid w:val="00B80BE8"/>
    <w:rPr>
      <w:rFonts w:ascii="Tahoma" w:hAnsi="Tahoma" w:cs="Tahoma"/>
      <w:sz w:val="16"/>
      <w:szCs w:val="16"/>
    </w:rPr>
  </w:style>
  <w:style w:type="character" w:customStyle="1" w:styleId="TextedebullesCar">
    <w:name w:val="Texte de bulles Car"/>
    <w:basedOn w:val="Policepardfaut"/>
    <w:link w:val="Textedebulles"/>
    <w:uiPriority w:val="99"/>
    <w:semiHidden/>
    <w:rsid w:val="00B80BE8"/>
    <w:rPr>
      <w:rFonts w:ascii="Tahoma" w:eastAsia="Times New Roman" w:hAnsi="Tahoma" w:cs="Tahoma"/>
      <w:sz w:val="16"/>
      <w:szCs w:val="16"/>
      <w:lang w:val="en-GB" w:eastAsia="fr-FR"/>
    </w:rPr>
  </w:style>
  <w:style w:type="character" w:styleId="Emphaseintense">
    <w:name w:val="Intense Emphasis"/>
    <w:basedOn w:val="Policepardfaut"/>
    <w:uiPriority w:val="21"/>
    <w:qFormat/>
    <w:rsid w:val="00EB03B5"/>
    <w:rPr>
      <w:b/>
      <w:bCs/>
      <w:i/>
      <w:iCs/>
      <w:color w:val="4F81BD" w:themeColor="accent1"/>
    </w:rPr>
  </w:style>
  <w:style w:type="character" w:customStyle="1" w:styleId="Titre2Car">
    <w:name w:val="Titre 2 Car"/>
    <w:basedOn w:val="Policepardfaut"/>
    <w:link w:val="Titre2"/>
    <w:uiPriority w:val="9"/>
    <w:rsid w:val="00E81CEA"/>
    <w:rPr>
      <w:rFonts w:asciiTheme="majorHAnsi" w:eastAsiaTheme="majorEastAsia" w:hAnsiTheme="majorHAnsi" w:cstheme="majorBidi"/>
      <w:b/>
      <w:bCs/>
      <w:color w:val="365F91" w:themeColor="accent1" w:themeShade="BF"/>
      <w:sz w:val="26"/>
      <w:szCs w:val="26"/>
      <w:lang w:val="en-GB" w:eastAsia="fr-FR"/>
    </w:rPr>
  </w:style>
  <w:style w:type="table" w:styleId="Grilledutableau">
    <w:name w:val="Table Grid"/>
    <w:basedOn w:val="TableauNormal"/>
    <w:uiPriority w:val="59"/>
    <w:rsid w:val="00E81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229F9"/>
    <w:pPr>
      <w:tabs>
        <w:tab w:val="center" w:pos="4536"/>
        <w:tab w:val="right" w:pos="9072"/>
      </w:tabs>
    </w:pPr>
  </w:style>
  <w:style w:type="character" w:customStyle="1" w:styleId="En-tteCar">
    <w:name w:val="En-tête Car"/>
    <w:basedOn w:val="Policepardfaut"/>
    <w:link w:val="En-tte"/>
    <w:uiPriority w:val="99"/>
    <w:rsid w:val="009229F9"/>
    <w:rPr>
      <w:rFonts w:eastAsia="Times New Roman" w:cs="Times New Roman"/>
      <w:szCs w:val="24"/>
      <w:lang w:val="en-GB" w:eastAsia="fr-FR"/>
    </w:rPr>
  </w:style>
  <w:style w:type="paragraph" w:styleId="Pieddepage">
    <w:name w:val="footer"/>
    <w:basedOn w:val="Normal"/>
    <w:link w:val="PieddepageCar"/>
    <w:uiPriority w:val="99"/>
    <w:unhideWhenUsed/>
    <w:rsid w:val="009229F9"/>
    <w:pPr>
      <w:tabs>
        <w:tab w:val="center" w:pos="4536"/>
        <w:tab w:val="right" w:pos="9072"/>
      </w:tabs>
    </w:pPr>
  </w:style>
  <w:style w:type="character" w:customStyle="1" w:styleId="PieddepageCar">
    <w:name w:val="Pied de page Car"/>
    <w:basedOn w:val="Policepardfaut"/>
    <w:link w:val="Pieddepage"/>
    <w:uiPriority w:val="99"/>
    <w:rsid w:val="009229F9"/>
    <w:rPr>
      <w:rFonts w:eastAsia="Times New Roman" w:cs="Times New Roman"/>
      <w:szCs w:val="24"/>
      <w:lang w:val="en-GB" w:eastAsia="fr-FR"/>
    </w:rPr>
  </w:style>
  <w:style w:type="character" w:styleId="Marquedecommentaire">
    <w:name w:val="annotation reference"/>
    <w:basedOn w:val="Policepardfaut"/>
    <w:uiPriority w:val="99"/>
    <w:semiHidden/>
    <w:unhideWhenUsed/>
    <w:rsid w:val="00CD5D15"/>
    <w:rPr>
      <w:sz w:val="16"/>
      <w:szCs w:val="16"/>
    </w:rPr>
  </w:style>
  <w:style w:type="paragraph" w:styleId="Commentaire">
    <w:name w:val="annotation text"/>
    <w:basedOn w:val="Normal"/>
    <w:link w:val="CommentaireCar"/>
    <w:uiPriority w:val="99"/>
    <w:semiHidden/>
    <w:unhideWhenUsed/>
    <w:rsid w:val="00CD5D15"/>
    <w:rPr>
      <w:sz w:val="20"/>
      <w:szCs w:val="20"/>
    </w:rPr>
  </w:style>
  <w:style w:type="character" w:customStyle="1" w:styleId="CommentaireCar">
    <w:name w:val="Commentaire Car"/>
    <w:basedOn w:val="Policepardfaut"/>
    <w:link w:val="Commentaire"/>
    <w:uiPriority w:val="99"/>
    <w:semiHidden/>
    <w:rsid w:val="00CD5D15"/>
    <w:rPr>
      <w:rFonts w:eastAsia="Times New Roman" w:cs="Times New Roman"/>
      <w:sz w:val="20"/>
      <w:szCs w:val="20"/>
      <w:lang w:val="en-GB" w:eastAsia="fr-FR"/>
    </w:rPr>
  </w:style>
  <w:style w:type="paragraph" w:styleId="Objetducommentaire">
    <w:name w:val="annotation subject"/>
    <w:basedOn w:val="Commentaire"/>
    <w:next w:val="Commentaire"/>
    <w:link w:val="ObjetducommentaireCar"/>
    <w:uiPriority w:val="99"/>
    <w:semiHidden/>
    <w:unhideWhenUsed/>
    <w:rsid w:val="00CD5D15"/>
    <w:rPr>
      <w:b/>
      <w:bCs/>
    </w:rPr>
  </w:style>
  <w:style w:type="character" w:customStyle="1" w:styleId="ObjetducommentaireCar">
    <w:name w:val="Objet du commentaire Car"/>
    <w:basedOn w:val="CommentaireCar"/>
    <w:link w:val="Objetducommentaire"/>
    <w:uiPriority w:val="99"/>
    <w:semiHidden/>
    <w:rsid w:val="00CD5D15"/>
    <w:rPr>
      <w:rFonts w:eastAsia="Times New Roman" w:cs="Times New Roman"/>
      <w:b/>
      <w:bCs/>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1569">
      <w:bodyDiv w:val="1"/>
      <w:marLeft w:val="0"/>
      <w:marRight w:val="0"/>
      <w:marTop w:val="0"/>
      <w:marBottom w:val="0"/>
      <w:divBdr>
        <w:top w:val="none" w:sz="0" w:space="0" w:color="auto"/>
        <w:left w:val="none" w:sz="0" w:space="0" w:color="auto"/>
        <w:bottom w:val="none" w:sz="0" w:space="0" w:color="auto"/>
        <w:right w:val="none" w:sz="0" w:space="0" w:color="auto"/>
      </w:divBdr>
    </w:div>
    <w:div w:id="84693899">
      <w:bodyDiv w:val="1"/>
      <w:marLeft w:val="0"/>
      <w:marRight w:val="0"/>
      <w:marTop w:val="0"/>
      <w:marBottom w:val="0"/>
      <w:divBdr>
        <w:top w:val="none" w:sz="0" w:space="0" w:color="auto"/>
        <w:left w:val="none" w:sz="0" w:space="0" w:color="auto"/>
        <w:bottom w:val="none" w:sz="0" w:space="0" w:color="auto"/>
        <w:right w:val="none" w:sz="0" w:space="0" w:color="auto"/>
      </w:divBdr>
    </w:div>
    <w:div w:id="337778772">
      <w:bodyDiv w:val="1"/>
      <w:marLeft w:val="0"/>
      <w:marRight w:val="0"/>
      <w:marTop w:val="0"/>
      <w:marBottom w:val="0"/>
      <w:divBdr>
        <w:top w:val="none" w:sz="0" w:space="0" w:color="auto"/>
        <w:left w:val="none" w:sz="0" w:space="0" w:color="auto"/>
        <w:bottom w:val="none" w:sz="0" w:space="0" w:color="auto"/>
        <w:right w:val="none" w:sz="0" w:space="0" w:color="auto"/>
      </w:divBdr>
    </w:div>
    <w:div w:id="454720445">
      <w:bodyDiv w:val="1"/>
      <w:marLeft w:val="0"/>
      <w:marRight w:val="0"/>
      <w:marTop w:val="0"/>
      <w:marBottom w:val="0"/>
      <w:divBdr>
        <w:top w:val="none" w:sz="0" w:space="0" w:color="auto"/>
        <w:left w:val="none" w:sz="0" w:space="0" w:color="auto"/>
        <w:bottom w:val="none" w:sz="0" w:space="0" w:color="auto"/>
        <w:right w:val="none" w:sz="0" w:space="0" w:color="auto"/>
      </w:divBdr>
    </w:div>
    <w:div w:id="1295063028">
      <w:bodyDiv w:val="1"/>
      <w:marLeft w:val="0"/>
      <w:marRight w:val="0"/>
      <w:marTop w:val="0"/>
      <w:marBottom w:val="0"/>
      <w:divBdr>
        <w:top w:val="none" w:sz="0" w:space="0" w:color="auto"/>
        <w:left w:val="none" w:sz="0" w:space="0" w:color="auto"/>
        <w:bottom w:val="none" w:sz="0" w:space="0" w:color="auto"/>
        <w:right w:val="none" w:sz="0" w:space="0" w:color="auto"/>
      </w:divBdr>
    </w:div>
    <w:div w:id="1763336560">
      <w:bodyDiv w:val="1"/>
      <w:marLeft w:val="0"/>
      <w:marRight w:val="0"/>
      <w:marTop w:val="0"/>
      <w:marBottom w:val="0"/>
      <w:divBdr>
        <w:top w:val="none" w:sz="0" w:space="0" w:color="auto"/>
        <w:left w:val="none" w:sz="0" w:space="0" w:color="auto"/>
        <w:bottom w:val="none" w:sz="0" w:space="0" w:color="auto"/>
        <w:right w:val="none" w:sz="0" w:space="0" w:color="auto"/>
      </w:divBdr>
    </w:div>
    <w:div w:id="193824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1876</Words>
  <Characters>10321</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HANDICAP INTERNATIONAL</Company>
  <LinksUpToDate>false</LinksUpToDate>
  <CharactersWithSpaces>12173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DAVODEAU</dc:creator>
  <cp:lastModifiedBy>Juliette DAVODEAU</cp:lastModifiedBy>
  <cp:revision>11</cp:revision>
  <dcterms:created xsi:type="dcterms:W3CDTF">2017-05-12T08:38:00Z</dcterms:created>
  <dcterms:modified xsi:type="dcterms:W3CDTF">2017-06-30T09:52:00Z</dcterms:modified>
</cp:coreProperties>
</file>