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E81CEA" w:rsidTr="00E81CEA">
        <w:tc>
          <w:tcPr>
            <w:tcW w:w="4606" w:type="dxa"/>
          </w:tcPr>
          <w:p w:rsidR="00E81CEA" w:rsidRDefault="00E81CEA" w:rsidP="00205DFE">
            <w:pPr>
              <w:spacing w:after="120" w:line="276" w:lineRule="auto"/>
              <w:contextualSpacing/>
              <w:jc w:val="center"/>
              <w:rPr>
                <w:rFonts w:ascii="Arial" w:hAnsi="Arial"/>
                <w:lang w:val="en-US"/>
              </w:rPr>
            </w:pPr>
            <w:r>
              <w:rPr>
                <w:rFonts w:ascii="Arial" w:hAnsi="Arial"/>
                <w:noProof/>
                <w:lang w:val="fr-FR"/>
              </w:rPr>
              <w:drawing>
                <wp:inline distT="0" distB="0" distL="0" distR="0" wp14:anchorId="700FFED8" wp14:editId="30B08D25">
                  <wp:extent cx="1176793" cy="635743"/>
                  <wp:effectExtent l="0" t="0" r="444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W logo HD.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78663" cy="636753"/>
                          </a:xfrm>
                          <a:prstGeom prst="rect">
                            <a:avLst/>
                          </a:prstGeom>
                        </pic:spPr>
                      </pic:pic>
                    </a:graphicData>
                  </a:graphic>
                </wp:inline>
              </w:drawing>
            </w:r>
          </w:p>
        </w:tc>
        <w:tc>
          <w:tcPr>
            <w:tcW w:w="4606" w:type="dxa"/>
          </w:tcPr>
          <w:p w:rsidR="00E81CEA" w:rsidRDefault="00E81CEA" w:rsidP="00205DFE">
            <w:pPr>
              <w:spacing w:after="120" w:line="276" w:lineRule="auto"/>
              <w:contextualSpacing/>
              <w:jc w:val="center"/>
              <w:rPr>
                <w:rFonts w:ascii="Arial" w:hAnsi="Arial"/>
                <w:lang w:val="en-US"/>
              </w:rPr>
            </w:pPr>
            <w:r>
              <w:rPr>
                <w:rFonts w:ascii="Arial" w:hAnsi="Arial"/>
                <w:noProof/>
                <w:lang w:val="fr-FR"/>
              </w:rPr>
              <w:drawing>
                <wp:inline distT="0" distB="0" distL="0" distR="0" wp14:anchorId="4E770282" wp14:editId="46A821A6">
                  <wp:extent cx="1459953" cy="529963"/>
                  <wp:effectExtent l="0" t="0" r="6985" b="381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I logo HD.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0784" cy="533895"/>
                          </a:xfrm>
                          <a:prstGeom prst="rect">
                            <a:avLst/>
                          </a:prstGeom>
                        </pic:spPr>
                      </pic:pic>
                    </a:graphicData>
                  </a:graphic>
                </wp:inline>
              </w:drawing>
            </w:r>
          </w:p>
        </w:tc>
      </w:tr>
    </w:tbl>
    <w:p w:rsidR="00E81CEA" w:rsidRDefault="00E81CEA" w:rsidP="00205DFE">
      <w:pPr>
        <w:spacing w:after="80" w:line="276" w:lineRule="auto"/>
        <w:contextualSpacing/>
        <w:jc w:val="center"/>
        <w:rPr>
          <w:rFonts w:cs="Arial"/>
          <w:b/>
          <w:bCs/>
          <w:color w:val="17365D" w:themeColor="text2" w:themeShade="BF"/>
          <w:sz w:val="28"/>
          <w:szCs w:val="28"/>
        </w:rPr>
      </w:pPr>
    </w:p>
    <w:p w:rsidR="00CF4755" w:rsidRPr="00E81CEA" w:rsidRDefault="00E81CEA" w:rsidP="00205DFE">
      <w:pPr>
        <w:spacing w:after="80" w:line="276" w:lineRule="auto"/>
        <w:contextualSpacing/>
        <w:jc w:val="center"/>
        <w:rPr>
          <w:rFonts w:cs="Arial"/>
          <w:b/>
          <w:bCs/>
          <w:color w:val="17365D" w:themeColor="text2" w:themeShade="BF"/>
          <w:sz w:val="28"/>
          <w:szCs w:val="28"/>
        </w:rPr>
      </w:pPr>
      <w:r>
        <w:rPr>
          <w:rFonts w:cs="Arial"/>
          <w:b/>
          <w:bCs/>
          <w:color w:val="17365D" w:themeColor="text2" w:themeShade="BF"/>
          <w:sz w:val="28"/>
          <w:szCs w:val="28"/>
        </w:rPr>
        <w:t>WHAT IS</w:t>
      </w:r>
      <w:r w:rsidR="00F056FB">
        <w:rPr>
          <w:rFonts w:cs="Arial"/>
          <w:b/>
          <w:bCs/>
          <w:color w:val="17365D" w:themeColor="text2" w:themeShade="BF"/>
          <w:sz w:val="28"/>
          <w:szCs w:val="28"/>
        </w:rPr>
        <w:t xml:space="preserve"> THE MAKING IT WORK</w:t>
      </w:r>
      <w:r w:rsidR="004F2C40">
        <w:rPr>
          <w:rFonts w:cs="Arial"/>
          <w:b/>
          <w:bCs/>
          <w:color w:val="17365D" w:themeColor="text2" w:themeShade="BF"/>
          <w:sz w:val="28"/>
          <w:szCs w:val="28"/>
        </w:rPr>
        <w:t xml:space="preserve"> METHODOLOGY</w:t>
      </w:r>
      <w:r w:rsidR="00F056FB">
        <w:rPr>
          <w:rFonts w:cs="Arial"/>
          <w:b/>
          <w:bCs/>
          <w:color w:val="17365D" w:themeColor="text2" w:themeShade="BF"/>
          <w:sz w:val="28"/>
          <w:szCs w:val="28"/>
        </w:rPr>
        <w:t>?</w:t>
      </w:r>
    </w:p>
    <w:p w:rsidR="00CF4755" w:rsidRDefault="00CF4755" w:rsidP="00205DFE">
      <w:pPr>
        <w:spacing w:after="80" w:line="276" w:lineRule="auto"/>
        <w:contextualSpacing/>
        <w:jc w:val="both"/>
        <w:rPr>
          <w:rFonts w:cs="Arial"/>
          <w:b/>
          <w:bCs/>
          <w:color w:val="FF0000"/>
        </w:rPr>
      </w:pPr>
    </w:p>
    <w:p w:rsidR="00CF4755" w:rsidRPr="00205DFE" w:rsidRDefault="00205DFE" w:rsidP="00205DFE">
      <w:pPr>
        <w:pStyle w:val="Titre2"/>
        <w:shd w:val="clear" w:color="auto" w:fill="17365D" w:themeFill="text2" w:themeFillShade="BF"/>
        <w:spacing w:line="276" w:lineRule="auto"/>
        <w:contextualSpacing/>
        <w:rPr>
          <w:rFonts w:asciiTheme="minorHAnsi" w:hAnsiTheme="minorHAnsi"/>
          <w:color w:val="FFFFFF" w:themeColor="background1"/>
          <w:sz w:val="24"/>
          <w:szCs w:val="24"/>
        </w:rPr>
      </w:pPr>
      <w:r>
        <w:rPr>
          <w:rFonts w:asciiTheme="minorHAnsi" w:hAnsiTheme="minorHAnsi"/>
          <w:color w:val="FFFFFF" w:themeColor="background1"/>
          <w:sz w:val="24"/>
          <w:szCs w:val="24"/>
        </w:rPr>
        <w:t xml:space="preserve"> </w:t>
      </w:r>
      <w:r w:rsidR="00B80BE8" w:rsidRPr="00205DFE">
        <w:rPr>
          <w:rFonts w:asciiTheme="minorHAnsi" w:hAnsiTheme="minorHAnsi"/>
          <w:color w:val="FFFFFF" w:themeColor="background1"/>
          <w:sz w:val="24"/>
          <w:szCs w:val="24"/>
        </w:rPr>
        <w:t>Introduction</w:t>
      </w:r>
    </w:p>
    <w:p w:rsidR="00CF4755" w:rsidRDefault="00CF4755" w:rsidP="00205DFE">
      <w:pPr>
        <w:spacing w:after="80" w:line="276" w:lineRule="auto"/>
        <w:contextualSpacing/>
        <w:jc w:val="both"/>
        <w:rPr>
          <w:rFonts w:cs="Arial"/>
          <w:b/>
          <w:bCs/>
          <w:color w:val="FF0000"/>
        </w:rPr>
      </w:pPr>
    </w:p>
    <w:p w:rsidR="00205DFE" w:rsidRDefault="00F056FB" w:rsidP="00205DFE">
      <w:pPr>
        <w:spacing w:after="80" w:line="276" w:lineRule="auto"/>
        <w:contextualSpacing/>
        <w:jc w:val="both"/>
        <w:rPr>
          <w:rFonts w:cs="Arial"/>
          <w:bCs/>
          <w:szCs w:val="22"/>
        </w:rPr>
      </w:pPr>
      <w:r>
        <w:rPr>
          <w:rFonts w:cs="Arial"/>
          <w:bCs/>
          <w:szCs w:val="22"/>
        </w:rPr>
        <w:t xml:space="preserve">Making It Work is a global initiative of Handicap International started in 2009 after the adoption of the UN Convention on the Rights of Persons with Disabilities (CRPD) to provide States with concrete examples or good practices for inclusive development. The initiative revolves around the use of a methodology, designed to document good practices, and that has been tested at all levels (local, national, regional and international) on a variety of topics (education, health, </w:t>
      </w:r>
      <w:r w:rsidR="004F2C40">
        <w:rPr>
          <w:rFonts w:cs="Arial"/>
          <w:bCs/>
          <w:szCs w:val="22"/>
        </w:rPr>
        <w:t>employment</w:t>
      </w:r>
      <w:r>
        <w:rPr>
          <w:rFonts w:cs="Arial"/>
          <w:bCs/>
          <w:szCs w:val="22"/>
        </w:rPr>
        <w:t xml:space="preserve">, disaster risk reduction ETC.) in more than 40 countries across regions. </w:t>
      </w:r>
      <w:r w:rsidR="00B80BE8" w:rsidRPr="00502F47">
        <w:rPr>
          <w:rFonts w:cs="Arial"/>
          <w:bCs/>
          <w:szCs w:val="22"/>
        </w:rPr>
        <w:t xml:space="preserve">The Making it Work </w:t>
      </w:r>
      <w:r w:rsidR="00B80BE8">
        <w:rPr>
          <w:rFonts w:cs="Arial"/>
          <w:bCs/>
          <w:szCs w:val="22"/>
        </w:rPr>
        <w:t xml:space="preserve">(MIW) </w:t>
      </w:r>
      <w:r>
        <w:rPr>
          <w:rFonts w:cs="Arial"/>
          <w:bCs/>
          <w:szCs w:val="22"/>
        </w:rPr>
        <w:t>methodology offers</w:t>
      </w:r>
      <w:r w:rsidR="00B80BE8" w:rsidRPr="00502F47">
        <w:rPr>
          <w:rFonts w:cs="Arial"/>
          <w:bCs/>
          <w:szCs w:val="22"/>
        </w:rPr>
        <w:t xml:space="preserve"> a set of tools to guide </w:t>
      </w:r>
      <w:r w:rsidR="007C5656">
        <w:rPr>
          <w:rFonts w:cs="Arial"/>
          <w:bCs/>
          <w:szCs w:val="22"/>
        </w:rPr>
        <w:t>actors</w:t>
      </w:r>
      <w:r w:rsidR="00B80BE8" w:rsidRPr="00502F47">
        <w:rPr>
          <w:rFonts w:cs="Arial"/>
          <w:bCs/>
          <w:szCs w:val="22"/>
        </w:rPr>
        <w:t xml:space="preserve"> through the process of </w:t>
      </w:r>
      <w:r w:rsidR="00B80BE8" w:rsidRPr="00205DFE">
        <w:rPr>
          <w:rFonts w:cs="Arial"/>
          <w:bCs/>
          <w:szCs w:val="22"/>
        </w:rPr>
        <w:t>identifying, documenting and analysing</w:t>
      </w:r>
      <w:r w:rsidR="00B80BE8" w:rsidRPr="00502F47">
        <w:rPr>
          <w:rFonts w:cs="Arial"/>
          <w:b/>
          <w:bCs/>
          <w:szCs w:val="22"/>
        </w:rPr>
        <w:t xml:space="preserve"> good practices </w:t>
      </w:r>
      <w:r w:rsidR="00B80BE8" w:rsidRPr="007C5656">
        <w:rPr>
          <w:rFonts w:cs="Arial"/>
          <w:bCs/>
          <w:szCs w:val="22"/>
        </w:rPr>
        <w:t xml:space="preserve">that </w:t>
      </w:r>
      <w:r>
        <w:rPr>
          <w:rFonts w:cs="Arial"/>
          <w:bCs/>
          <w:szCs w:val="22"/>
        </w:rPr>
        <w:t>contribute to advancing</w:t>
      </w:r>
      <w:r w:rsidR="00B80BE8" w:rsidRPr="007C5656">
        <w:rPr>
          <w:rFonts w:cs="Arial"/>
          <w:bCs/>
          <w:szCs w:val="22"/>
        </w:rPr>
        <w:t xml:space="preserve"> the rights</w:t>
      </w:r>
      <w:r w:rsidR="00B80BE8" w:rsidRPr="00502F47">
        <w:rPr>
          <w:rFonts w:cs="Arial"/>
          <w:b/>
          <w:bCs/>
          <w:szCs w:val="22"/>
        </w:rPr>
        <w:t xml:space="preserve"> </w:t>
      </w:r>
      <w:r w:rsidR="00B80BE8" w:rsidRPr="00502F47">
        <w:rPr>
          <w:rFonts w:cs="Arial"/>
          <w:bCs/>
          <w:szCs w:val="22"/>
        </w:rPr>
        <w:t xml:space="preserve">enshrined in the </w:t>
      </w:r>
      <w:r w:rsidR="00B80BE8">
        <w:rPr>
          <w:rFonts w:cs="Arial"/>
          <w:bCs/>
          <w:szCs w:val="22"/>
        </w:rPr>
        <w:t>C</w:t>
      </w:r>
      <w:r w:rsidR="00B80BE8" w:rsidRPr="00502F47">
        <w:rPr>
          <w:rFonts w:cs="Arial"/>
          <w:bCs/>
          <w:szCs w:val="22"/>
        </w:rPr>
        <w:t>RPD</w:t>
      </w:r>
      <w:r>
        <w:rPr>
          <w:rFonts w:cs="Arial"/>
          <w:bCs/>
          <w:szCs w:val="22"/>
        </w:rPr>
        <w:t>, such as the right to education</w:t>
      </w:r>
      <w:r w:rsidR="00205DFE">
        <w:rPr>
          <w:rFonts w:cs="Arial"/>
          <w:bCs/>
          <w:szCs w:val="22"/>
        </w:rPr>
        <w:t>.</w:t>
      </w:r>
      <w:r w:rsidR="00B80BE8" w:rsidRPr="00502F47">
        <w:rPr>
          <w:rFonts w:cs="Arial"/>
          <w:bCs/>
          <w:szCs w:val="22"/>
        </w:rPr>
        <w:t xml:space="preserve"> </w:t>
      </w:r>
      <w:r w:rsidR="00205DFE">
        <w:rPr>
          <w:rFonts w:cs="Arial"/>
          <w:bCs/>
          <w:szCs w:val="22"/>
        </w:rPr>
        <w:t>The good p</w:t>
      </w:r>
      <w:r>
        <w:rPr>
          <w:rFonts w:cs="Arial"/>
          <w:bCs/>
          <w:szCs w:val="22"/>
        </w:rPr>
        <w:t>ractices collected are then used to support actors and/or service providers or the community to change attitudes and practices to become more inclusive of, and accessible to, people with disabilities.</w:t>
      </w:r>
    </w:p>
    <w:p w:rsidR="00205DFE" w:rsidRDefault="00205DFE" w:rsidP="00205DFE">
      <w:pPr>
        <w:spacing w:after="80" w:line="276" w:lineRule="auto"/>
        <w:contextualSpacing/>
        <w:jc w:val="both"/>
        <w:rPr>
          <w:rFonts w:cs="Arial"/>
          <w:bCs/>
          <w:szCs w:val="22"/>
        </w:rPr>
      </w:pPr>
      <w:r>
        <w:rPr>
          <w:rFonts w:cs="Arial"/>
          <w:bCs/>
          <w:szCs w:val="22"/>
        </w:rPr>
        <w:t>This methodology therefore supports key actors</w:t>
      </w:r>
      <w:r w:rsidR="007C5656" w:rsidRPr="00B80BE8">
        <w:rPr>
          <w:rFonts w:cs="Arial"/>
          <w:bCs/>
          <w:szCs w:val="22"/>
        </w:rPr>
        <w:t xml:space="preserve"> to make the most of what significant changes have already been achieved, </w:t>
      </w:r>
      <w:r>
        <w:rPr>
          <w:rFonts w:cs="Arial"/>
          <w:bCs/>
          <w:szCs w:val="22"/>
        </w:rPr>
        <w:t xml:space="preserve">in order </w:t>
      </w:r>
      <w:r w:rsidR="007C5656" w:rsidRPr="00B80BE8">
        <w:rPr>
          <w:rFonts w:cs="Arial"/>
          <w:bCs/>
          <w:szCs w:val="22"/>
        </w:rPr>
        <w:t>to broaden their impact.</w:t>
      </w:r>
      <w:r w:rsidR="007C5656" w:rsidRPr="00B80BE8">
        <w:rPr>
          <w:rFonts w:eastAsia="Calibri" w:cs="Arial"/>
          <w:bCs/>
          <w:szCs w:val="22"/>
        </w:rPr>
        <w:t xml:space="preserve"> It values civil society engagement and that of people with disabilities in particular</w:t>
      </w:r>
      <w:r>
        <w:rPr>
          <w:rFonts w:eastAsia="Calibri" w:cs="Arial"/>
          <w:bCs/>
          <w:szCs w:val="22"/>
        </w:rPr>
        <w:t>,</w:t>
      </w:r>
      <w:r w:rsidR="00CF4755">
        <w:rPr>
          <w:rFonts w:eastAsia="Calibri" w:cs="Arial"/>
          <w:bCs/>
          <w:szCs w:val="22"/>
        </w:rPr>
        <w:t xml:space="preserve"> throughout </w:t>
      </w:r>
      <w:r>
        <w:rPr>
          <w:rFonts w:eastAsia="Calibri" w:cs="Arial"/>
          <w:bCs/>
          <w:szCs w:val="22"/>
        </w:rPr>
        <w:t>its</w:t>
      </w:r>
      <w:r w:rsidR="00CF4755">
        <w:rPr>
          <w:rFonts w:eastAsia="Calibri" w:cs="Arial"/>
          <w:bCs/>
          <w:szCs w:val="22"/>
        </w:rPr>
        <w:t xml:space="preserve"> 3 main steps</w:t>
      </w:r>
      <w:r w:rsidR="007C5656">
        <w:rPr>
          <w:rFonts w:eastAsia="Calibri" w:cs="Arial"/>
          <w:bCs/>
          <w:szCs w:val="22"/>
        </w:rPr>
        <w:t>.</w:t>
      </w:r>
      <w:r w:rsidR="00CF4755">
        <w:rPr>
          <w:rFonts w:cs="Arial"/>
          <w:bCs/>
          <w:szCs w:val="22"/>
        </w:rPr>
        <w:t xml:space="preserve"> </w:t>
      </w:r>
    </w:p>
    <w:p w:rsidR="00205DFE" w:rsidRDefault="00205DFE" w:rsidP="00205DFE">
      <w:pPr>
        <w:spacing w:after="80" w:line="276" w:lineRule="auto"/>
        <w:contextualSpacing/>
        <w:jc w:val="both"/>
        <w:rPr>
          <w:rFonts w:cs="Arial"/>
          <w:bCs/>
          <w:szCs w:val="22"/>
        </w:rPr>
      </w:pPr>
    </w:p>
    <w:p w:rsidR="00F056FB" w:rsidRDefault="00B80BE8" w:rsidP="00205DFE">
      <w:pPr>
        <w:spacing w:after="80" w:line="276" w:lineRule="auto"/>
        <w:contextualSpacing/>
        <w:jc w:val="both"/>
        <w:rPr>
          <w:rFonts w:cs="Arial"/>
          <w:bCs/>
          <w:szCs w:val="22"/>
        </w:rPr>
      </w:pPr>
      <w:r>
        <w:rPr>
          <w:rFonts w:cs="Arial"/>
          <w:bCs/>
          <w:szCs w:val="22"/>
        </w:rPr>
        <w:t xml:space="preserve">This method is usable across sectors, and is to be implemented </w:t>
      </w:r>
      <w:r w:rsidR="007C5656">
        <w:rPr>
          <w:rFonts w:cs="Arial"/>
          <w:bCs/>
          <w:szCs w:val="22"/>
        </w:rPr>
        <w:t>through</w:t>
      </w:r>
      <w:r>
        <w:rPr>
          <w:rFonts w:cs="Arial"/>
          <w:bCs/>
          <w:szCs w:val="22"/>
        </w:rPr>
        <w:t xml:space="preserve"> collaboration between key actors, in which persons with disabilities and their representative organizations play a central role. </w:t>
      </w:r>
      <w:r w:rsidR="007C5656">
        <w:rPr>
          <w:rFonts w:cs="Arial"/>
          <w:bCs/>
          <w:szCs w:val="22"/>
        </w:rPr>
        <w:t>All parties involved</w:t>
      </w:r>
      <w:r>
        <w:rPr>
          <w:rFonts w:cs="Arial"/>
          <w:bCs/>
          <w:szCs w:val="22"/>
        </w:rPr>
        <w:t xml:space="preserve"> determine the changes they want to see</w:t>
      </w:r>
      <w:r w:rsidR="00F056FB">
        <w:rPr>
          <w:rFonts w:cs="Arial"/>
          <w:bCs/>
          <w:szCs w:val="22"/>
        </w:rPr>
        <w:t>.</w:t>
      </w:r>
    </w:p>
    <w:p w:rsidR="007F59B4" w:rsidRDefault="008B1F0F" w:rsidP="00205DFE">
      <w:pPr>
        <w:spacing w:after="80" w:line="276" w:lineRule="auto"/>
        <w:contextualSpacing/>
        <w:jc w:val="both"/>
        <w:rPr>
          <w:rFonts w:cs="Arial"/>
          <w:bCs/>
          <w:szCs w:val="22"/>
        </w:rPr>
      </w:pPr>
      <w:r>
        <w:rPr>
          <w:rFonts w:cs="Arial"/>
          <w:bCs/>
          <w:szCs w:val="22"/>
        </w:rPr>
        <w:t>Building on the recommendations, drawn from</w:t>
      </w:r>
      <w:r w:rsidR="007F59B4">
        <w:rPr>
          <w:rFonts w:cs="Arial"/>
          <w:bCs/>
          <w:szCs w:val="22"/>
        </w:rPr>
        <w:t xml:space="preserve"> the good practice and developed in a collaborative way, actions can include: </w:t>
      </w:r>
    </w:p>
    <w:p w:rsidR="007F59B4" w:rsidRDefault="007F59B4" w:rsidP="007F59B4">
      <w:pPr>
        <w:pStyle w:val="Paragraphedeliste"/>
        <w:numPr>
          <w:ilvl w:val="0"/>
          <w:numId w:val="14"/>
        </w:numPr>
        <w:spacing w:after="80"/>
        <w:jc w:val="both"/>
        <w:rPr>
          <w:rFonts w:cs="Arial"/>
          <w:bCs/>
          <w:lang w:val="en-US"/>
        </w:rPr>
      </w:pPr>
      <w:r w:rsidRPr="007F59B4">
        <w:rPr>
          <w:rFonts w:cs="Arial"/>
          <w:bCs/>
          <w:lang w:val="en-US"/>
        </w:rPr>
        <w:t>Awareness raising and advocacy t</w:t>
      </w:r>
      <w:r>
        <w:rPr>
          <w:rFonts w:cs="Arial"/>
          <w:bCs/>
          <w:lang w:val="en-US"/>
        </w:rPr>
        <w:t>o improve access to services or influence policy implementation by providing inclusive and concrete examples.</w:t>
      </w:r>
    </w:p>
    <w:p w:rsidR="007F59B4" w:rsidRPr="007F59B4" w:rsidRDefault="007F59B4" w:rsidP="007F59B4">
      <w:pPr>
        <w:pStyle w:val="Paragraphedeliste"/>
        <w:numPr>
          <w:ilvl w:val="0"/>
          <w:numId w:val="14"/>
        </w:numPr>
        <w:spacing w:after="80"/>
        <w:jc w:val="both"/>
        <w:rPr>
          <w:rFonts w:cs="Arial"/>
          <w:bCs/>
          <w:lang w:val="en-US"/>
        </w:rPr>
      </w:pPr>
      <w:r>
        <w:rPr>
          <w:rFonts w:cs="Arial"/>
          <w:bCs/>
          <w:lang w:val="en-US"/>
        </w:rPr>
        <w:t xml:space="preserve">Replicability and scaling of the good practice in the </w:t>
      </w:r>
      <w:proofErr w:type="spellStart"/>
      <w:r>
        <w:rPr>
          <w:rFonts w:cs="Arial"/>
          <w:bCs/>
          <w:lang w:val="en-US"/>
        </w:rPr>
        <w:t>neighbouring</w:t>
      </w:r>
      <w:proofErr w:type="spellEnd"/>
      <w:r>
        <w:rPr>
          <w:rFonts w:cs="Arial"/>
          <w:bCs/>
          <w:lang w:val="en-US"/>
        </w:rPr>
        <w:t xml:space="preserve"> village, for instance, or in another district. </w:t>
      </w:r>
    </w:p>
    <w:p w:rsidR="00205DFE" w:rsidRPr="007F59B4" w:rsidRDefault="00205DFE" w:rsidP="00205DFE">
      <w:pPr>
        <w:pStyle w:val="Paragraphedeliste"/>
        <w:spacing w:after="80"/>
        <w:jc w:val="both"/>
        <w:rPr>
          <w:rFonts w:cs="Arial"/>
          <w:bCs/>
          <w:lang w:val="en-US"/>
        </w:rPr>
      </w:pPr>
    </w:p>
    <w:p w:rsidR="00F056FB" w:rsidRDefault="00F056FB">
      <w:pPr>
        <w:spacing w:after="200" w:line="276" w:lineRule="auto"/>
        <w:rPr>
          <w:rFonts w:eastAsiaTheme="majorEastAsia" w:cstheme="majorBidi"/>
          <w:b/>
          <w:bCs/>
          <w:color w:val="FFFFFF" w:themeColor="background1"/>
          <w:sz w:val="24"/>
        </w:rPr>
      </w:pPr>
      <w:r>
        <w:rPr>
          <w:color w:val="FFFFFF" w:themeColor="background1"/>
          <w:sz w:val="24"/>
        </w:rPr>
        <w:br w:type="page"/>
      </w:r>
    </w:p>
    <w:p w:rsidR="00CF4755" w:rsidRPr="00205DFE" w:rsidRDefault="004F2C40" w:rsidP="00205DFE">
      <w:pPr>
        <w:pStyle w:val="Titre2"/>
        <w:shd w:val="clear" w:color="auto" w:fill="17365D" w:themeFill="text2" w:themeFillShade="BF"/>
        <w:spacing w:line="276" w:lineRule="auto"/>
        <w:contextualSpacing/>
        <w:rPr>
          <w:rFonts w:asciiTheme="minorHAnsi" w:hAnsiTheme="minorHAnsi"/>
          <w:color w:val="FFFFFF" w:themeColor="background1"/>
          <w:sz w:val="24"/>
          <w:szCs w:val="24"/>
        </w:rPr>
      </w:pPr>
      <w:r>
        <w:rPr>
          <w:rFonts w:asciiTheme="minorHAnsi" w:hAnsiTheme="minorHAnsi"/>
          <w:color w:val="FFFFFF" w:themeColor="background1"/>
          <w:sz w:val="24"/>
          <w:szCs w:val="24"/>
        </w:rPr>
        <w:lastRenderedPageBreak/>
        <w:t xml:space="preserve"> </w:t>
      </w:r>
      <w:r w:rsidR="00CF4755" w:rsidRPr="00205DFE">
        <w:rPr>
          <w:rFonts w:asciiTheme="minorHAnsi" w:hAnsiTheme="minorHAnsi"/>
          <w:color w:val="FFFFFF" w:themeColor="background1"/>
          <w:sz w:val="24"/>
          <w:szCs w:val="24"/>
        </w:rPr>
        <w:t>The M</w:t>
      </w:r>
      <w:r w:rsidR="000052B9">
        <w:rPr>
          <w:rFonts w:asciiTheme="minorHAnsi" w:hAnsiTheme="minorHAnsi"/>
          <w:color w:val="FFFFFF" w:themeColor="background1"/>
          <w:sz w:val="24"/>
          <w:szCs w:val="24"/>
        </w:rPr>
        <w:t xml:space="preserve">aking </w:t>
      </w:r>
      <w:r w:rsidR="00CF4755" w:rsidRPr="00205DFE">
        <w:rPr>
          <w:rFonts w:asciiTheme="minorHAnsi" w:hAnsiTheme="minorHAnsi"/>
          <w:color w:val="FFFFFF" w:themeColor="background1"/>
          <w:sz w:val="24"/>
          <w:szCs w:val="24"/>
        </w:rPr>
        <w:t>I</w:t>
      </w:r>
      <w:r w:rsidR="000052B9">
        <w:rPr>
          <w:rFonts w:asciiTheme="minorHAnsi" w:hAnsiTheme="minorHAnsi"/>
          <w:color w:val="FFFFFF" w:themeColor="background1"/>
          <w:sz w:val="24"/>
          <w:szCs w:val="24"/>
        </w:rPr>
        <w:t xml:space="preserve">t </w:t>
      </w:r>
      <w:r w:rsidR="00CF4755" w:rsidRPr="00205DFE">
        <w:rPr>
          <w:rFonts w:asciiTheme="minorHAnsi" w:hAnsiTheme="minorHAnsi"/>
          <w:color w:val="FFFFFF" w:themeColor="background1"/>
          <w:sz w:val="24"/>
          <w:szCs w:val="24"/>
        </w:rPr>
        <w:t>W</w:t>
      </w:r>
      <w:r w:rsidR="000052B9">
        <w:rPr>
          <w:rFonts w:asciiTheme="minorHAnsi" w:hAnsiTheme="minorHAnsi"/>
          <w:color w:val="FFFFFF" w:themeColor="background1"/>
          <w:sz w:val="24"/>
          <w:szCs w:val="24"/>
        </w:rPr>
        <w:t>ork</w:t>
      </w:r>
      <w:r w:rsidR="00CF4755" w:rsidRPr="00205DFE">
        <w:rPr>
          <w:rFonts w:asciiTheme="minorHAnsi" w:hAnsiTheme="minorHAnsi"/>
          <w:color w:val="FFFFFF" w:themeColor="background1"/>
          <w:sz w:val="24"/>
          <w:szCs w:val="24"/>
        </w:rPr>
        <w:t xml:space="preserve"> </w:t>
      </w:r>
      <w:r>
        <w:rPr>
          <w:rFonts w:asciiTheme="minorHAnsi" w:hAnsiTheme="minorHAnsi"/>
          <w:color w:val="FFFFFF" w:themeColor="background1"/>
          <w:sz w:val="24"/>
          <w:szCs w:val="24"/>
        </w:rPr>
        <w:t>process</w:t>
      </w:r>
    </w:p>
    <w:p w:rsidR="00B80BE8" w:rsidRPr="005C4CB4" w:rsidRDefault="00B80BE8" w:rsidP="00205DFE">
      <w:pPr>
        <w:spacing w:after="80" w:line="276" w:lineRule="auto"/>
        <w:contextualSpacing/>
        <w:jc w:val="both"/>
        <w:rPr>
          <w:rFonts w:cs="Arial"/>
          <w:b/>
          <w:bCs/>
        </w:rPr>
      </w:pPr>
    </w:p>
    <w:p w:rsidR="00B80BE8" w:rsidRPr="00502F47" w:rsidRDefault="00055DAB" w:rsidP="00205DFE">
      <w:pPr>
        <w:spacing w:after="80" w:line="276" w:lineRule="auto"/>
        <w:contextualSpacing/>
        <w:jc w:val="both"/>
        <w:rPr>
          <w:rFonts w:cs="Arial"/>
        </w:rPr>
      </w:pPr>
      <w:r w:rsidRPr="00502F47">
        <w:rPr>
          <w:rFonts w:cs="Arial"/>
          <w:noProof/>
          <w:lang w:val="fr-FR"/>
        </w:rPr>
        <mc:AlternateContent>
          <mc:Choice Requires="wps">
            <w:drawing>
              <wp:anchor distT="0" distB="0" distL="114300" distR="114300" simplePos="0" relativeHeight="251659264" behindDoc="0" locked="0" layoutInCell="1" allowOverlap="1" wp14:anchorId="3863D0CF" wp14:editId="684E76C1">
                <wp:simplePos x="0" y="0"/>
                <wp:positionH relativeFrom="column">
                  <wp:posOffset>2516581</wp:posOffset>
                </wp:positionH>
                <wp:positionV relativeFrom="paragraph">
                  <wp:posOffset>1544955</wp:posOffset>
                </wp:positionV>
                <wp:extent cx="770890" cy="628015"/>
                <wp:effectExtent l="0" t="0" r="0" b="635"/>
                <wp:wrapNone/>
                <wp:docPr id="30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0890" cy="628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55DAB" w:rsidRDefault="00055DAB" w:rsidP="00B80BE8">
                            <w:pPr>
                              <w:jc w:val="center"/>
                              <w:rPr>
                                <w:rFonts w:ascii="Calibri" w:hAnsi="Calibri"/>
                                <w:color w:val="4F81BD"/>
                                <w:sz w:val="16"/>
                                <w:szCs w:val="16"/>
                                <w:lang w:val="en-US"/>
                              </w:rPr>
                            </w:pPr>
                            <w:r>
                              <w:rPr>
                                <w:rFonts w:ascii="Calibri" w:hAnsi="Calibri"/>
                                <w:b/>
                                <w:color w:val="4F81BD"/>
                                <w:sz w:val="16"/>
                                <w:szCs w:val="16"/>
                                <w:lang w:val="en-US"/>
                              </w:rPr>
                              <w:t>Persons</w:t>
                            </w:r>
                            <w:r w:rsidR="00B80BE8" w:rsidRPr="00055DAB">
                              <w:rPr>
                                <w:rFonts w:ascii="Calibri" w:hAnsi="Calibri"/>
                                <w:b/>
                                <w:color w:val="4F81BD"/>
                                <w:sz w:val="16"/>
                                <w:szCs w:val="16"/>
                                <w:lang w:val="en-US"/>
                              </w:rPr>
                              <w:t xml:space="preserve"> with disabilities</w:t>
                            </w:r>
                            <w:r w:rsidR="00B80BE8" w:rsidRPr="00205DFE">
                              <w:rPr>
                                <w:rFonts w:ascii="Calibri" w:hAnsi="Calibri"/>
                                <w:color w:val="4F81BD"/>
                                <w:sz w:val="16"/>
                                <w:szCs w:val="16"/>
                                <w:lang w:val="en-US"/>
                              </w:rPr>
                              <w:t xml:space="preserve"> co- or </w:t>
                            </w:r>
                          </w:p>
                          <w:p w:rsidR="00B80BE8" w:rsidRPr="00205DFE" w:rsidRDefault="00B80BE8" w:rsidP="00B80BE8">
                            <w:pPr>
                              <w:jc w:val="center"/>
                              <w:rPr>
                                <w:rFonts w:ascii="Calibri" w:hAnsi="Calibri"/>
                                <w:color w:val="4F81BD"/>
                                <w:sz w:val="16"/>
                                <w:szCs w:val="16"/>
                                <w:lang w:val="en-US"/>
                              </w:rPr>
                            </w:pPr>
                            <w:r w:rsidRPr="00205DFE">
                              <w:rPr>
                                <w:rFonts w:ascii="Calibri" w:hAnsi="Calibri"/>
                                <w:color w:val="4F81BD"/>
                                <w:sz w:val="16"/>
                                <w:szCs w:val="16"/>
                                <w:lang w:val="en-US"/>
                              </w:rPr>
                              <w:t xml:space="preserve">leading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left:0;text-align:left;margin-left:198.15pt;margin-top:121.65pt;width:60.7pt;height:49.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" stroked="f">
                <v:textbox>
                  <w:txbxContent>
                    <w:p w:rsidR="00055DAB" w:rsidRDefault="00055DAB" w:rsidP="00B80BE8">
                      <w:pPr>
                        <w:jc w:val="center"/>
                        <w:rPr>
                          <w:rFonts w:ascii="Calibri" w:hAnsi="Calibri"/>
                          <w:color w:val="4F81BD"/>
                          <w:sz w:val="16"/>
                          <w:szCs w:val="16"/>
                          <w:lang w:val="en-US"/>
                        </w:rPr>
                      </w:pPr>
                      <w:r>
                        <w:rPr>
                          <w:rFonts w:ascii="Calibri" w:hAnsi="Calibri"/>
                          <w:b/>
                          <w:color w:val="4F81BD"/>
                          <w:sz w:val="16"/>
                          <w:szCs w:val="16"/>
                          <w:lang w:val="en-US"/>
                        </w:rPr>
                        <w:t>Persons</w:t>
                      </w:r>
                      <w:r w:rsidR="00B80BE8" w:rsidRPr="00055DAB">
                        <w:rPr>
                          <w:rFonts w:ascii="Calibri" w:hAnsi="Calibri"/>
                          <w:b/>
                          <w:color w:val="4F81BD"/>
                          <w:sz w:val="16"/>
                          <w:szCs w:val="16"/>
                          <w:lang w:val="en-US"/>
                        </w:rPr>
                        <w:t xml:space="preserve"> with disabilities</w:t>
                      </w:r>
                      <w:r w:rsidR="00B80BE8" w:rsidRPr="00205DFE">
                        <w:rPr>
                          <w:rFonts w:ascii="Calibri" w:hAnsi="Calibri"/>
                          <w:color w:val="4F81BD"/>
                          <w:sz w:val="16"/>
                          <w:szCs w:val="16"/>
                          <w:lang w:val="en-US"/>
                        </w:rPr>
                        <w:t xml:space="preserve"> co- or </w:t>
                      </w:r>
                    </w:p>
                    <w:p w:rsidR="00B80BE8" w:rsidRPr="00205DFE" w:rsidRDefault="00B80BE8" w:rsidP="00B80BE8">
                      <w:pPr>
                        <w:jc w:val="center"/>
                        <w:rPr>
                          <w:rFonts w:ascii="Calibri" w:hAnsi="Calibri"/>
                          <w:color w:val="4F81BD"/>
                          <w:sz w:val="16"/>
                          <w:szCs w:val="16"/>
                          <w:lang w:val="en-US"/>
                        </w:rPr>
                      </w:pPr>
                      <w:r w:rsidRPr="00205DFE">
                        <w:rPr>
                          <w:rFonts w:ascii="Calibri" w:hAnsi="Calibri"/>
                          <w:color w:val="4F81BD"/>
                          <w:sz w:val="16"/>
                          <w:szCs w:val="16"/>
                          <w:lang w:val="en-US"/>
                        </w:rPr>
                        <w:t xml:space="preserve">leading </w:t>
                      </w:r>
                    </w:p>
                  </w:txbxContent>
                </v:textbox>
              </v:shape>
            </w:pict>
          </mc:Fallback>
        </mc:AlternateContent>
      </w:r>
      <w:r w:rsidR="00205DFE" w:rsidRPr="00502F47">
        <w:rPr>
          <w:rFonts w:cs="Arial"/>
          <w:noProof/>
          <w:lang w:val="fr-FR"/>
        </w:rPr>
        <mc:AlternateContent>
          <mc:Choice Requires="wps">
            <w:drawing>
              <wp:anchor distT="0" distB="0" distL="114300" distR="114300" simplePos="0" relativeHeight="251660288" behindDoc="0" locked="0" layoutInCell="1" allowOverlap="1" wp14:anchorId="6BF2011F" wp14:editId="3E21F940">
                <wp:simplePos x="0" y="0"/>
                <wp:positionH relativeFrom="column">
                  <wp:posOffset>2443073</wp:posOffset>
                </wp:positionH>
                <wp:positionV relativeFrom="paragraph">
                  <wp:posOffset>1334988</wp:posOffset>
                </wp:positionV>
                <wp:extent cx="858299" cy="951524"/>
                <wp:effectExtent l="0" t="84772" r="0" b="47943"/>
                <wp:wrapNone/>
                <wp:docPr id="309"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3619862">
                          <a:off x="0" y="0"/>
                          <a:ext cx="858299" cy="951524"/>
                        </a:xfrm>
                        <a:custGeom>
                          <a:avLst/>
                          <a:gdLst>
                            <a:gd name="T0" fmla="*/ 499106659 w 21600"/>
                            <a:gd name="T1" fmla="*/ 1331549178 h 21600"/>
                            <a:gd name="T2" fmla="*/ 2147483647 w 21600"/>
                            <a:gd name="T3" fmla="*/ 2147483647 h 21600"/>
                            <a:gd name="T4" fmla="*/ 1035484951 w 21600"/>
                            <a:gd name="T5" fmla="*/ 1677253899 h 21600"/>
                            <a:gd name="T6" fmla="*/ 2147483647 w 21600"/>
                            <a:gd name="T7" fmla="*/ 2147483647 h 21600"/>
                            <a:gd name="T8" fmla="*/ 2147483647 w 21600"/>
                            <a:gd name="T9" fmla="*/ 2147483647 h 21600"/>
                            <a:gd name="T10" fmla="*/ 2147483647 w 21600"/>
                            <a:gd name="T11" fmla="*/ 2147483647 h 21600"/>
                            <a:gd name="T12" fmla="*/ 0 60000 65536"/>
                            <a:gd name="T13" fmla="*/ 0 60000 65536"/>
                            <a:gd name="T14" fmla="*/ 0 60000 65536"/>
                            <a:gd name="T15" fmla="*/ 0 60000 65536"/>
                            <a:gd name="T16" fmla="*/ 0 60000 65536"/>
                            <a:gd name="T17" fmla="*/ 0 60000 65536"/>
                            <a:gd name="T18" fmla="*/ 3163 w 21600"/>
                            <a:gd name="T19" fmla="*/ 3163 h 21600"/>
                            <a:gd name="T20" fmla="*/ 18437 w 21600"/>
                            <a:gd name="T21" fmla="*/ 18437 h 21600"/>
                          </a:gdLst>
                          <a:ahLst/>
                          <a:cxnLst>
                            <a:cxn ang="T12">
                              <a:pos x="T0" y="T1"/>
                            </a:cxn>
                            <a:cxn ang="T13">
                              <a:pos x="T2" y="T3"/>
                            </a:cxn>
                            <a:cxn ang="T14">
                              <a:pos x="T4" y="T5"/>
                            </a:cxn>
                            <a:cxn ang="T15">
                              <a:pos x="T6" y="T7"/>
                            </a:cxn>
                            <a:cxn ang="T16">
                              <a:pos x="T8" y="T9"/>
                            </a:cxn>
                            <a:cxn ang="T17">
                              <a:pos x="T10" y="T11"/>
                            </a:cxn>
                          </a:cxnLst>
                          <a:rect l="T18" t="T19" r="T20" b="T21"/>
                          <a:pathLst>
                            <a:path w="21600" h="21600">
                              <a:moveTo>
                                <a:pt x="18961" y="13202"/>
                              </a:moveTo>
                              <a:cubicBezTo>
                                <a:pt x="19191" y="12422"/>
                                <a:pt x="19308" y="11613"/>
                                <a:pt x="19308" y="10800"/>
                              </a:cubicBezTo>
                              <a:cubicBezTo>
                                <a:pt x="19308" y="6101"/>
                                <a:pt x="15498" y="2292"/>
                                <a:pt x="10800" y="2292"/>
                              </a:cubicBezTo>
                              <a:cubicBezTo>
                                <a:pt x="6101" y="2292"/>
                                <a:pt x="2292" y="6101"/>
                                <a:pt x="2292" y="10800"/>
                              </a:cubicBezTo>
                              <a:cubicBezTo>
                                <a:pt x="2292" y="15498"/>
                                <a:pt x="6101" y="19308"/>
                                <a:pt x="10800" y="19308"/>
                              </a:cubicBezTo>
                              <a:cubicBezTo>
                                <a:pt x="12781" y="19308"/>
                                <a:pt x="14701" y="18616"/>
                                <a:pt x="16227" y="17351"/>
                              </a:cubicBezTo>
                              <a:lnTo>
                                <a:pt x="17690" y="19116"/>
                              </a:lnTo>
                              <a:cubicBezTo>
                                <a:pt x="15752" y="20721"/>
                                <a:pt x="13315" y="21599"/>
                                <a:pt x="10800" y="21600"/>
                              </a:cubicBezTo>
                              <a:cubicBezTo>
                                <a:pt x="4835" y="21600"/>
                                <a:pt x="0" y="16764"/>
                                <a:pt x="0" y="10800"/>
                              </a:cubicBezTo>
                              <a:cubicBezTo>
                                <a:pt x="0" y="4835"/>
                                <a:pt x="4835" y="0"/>
                                <a:pt x="10800" y="0"/>
                              </a:cubicBezTo>
                              <a:cubicBezTo>
                                <a:pt x="16764" y="0"/>
                                <a:pt x="21600" y="4835"/>
                                <a:pt x="21600" y="10800"/>
                              </a:cubicBezTo>
                              <a:cubicBezTo>
                                <a:pt x="21600" y="11832"/>
                                <a:pt x="21451" y="12859"/>
                                <a:pt x="21160" y="13850"/>
                              </a:cubicBezTo>
                              <a:lnTo>
                                <a:pt x="23750" y="14612"/>
                              </a:lnTo>
                              <a:lnTo>
                                <a:pt x="18974" y="17215"/>
                              </a:lnTo>
                              <a:lnTo>
                                <a:pt x="16371" y="12440"/>
                              </a:lnTo>
                              <a:lnTo>
                                <a:pt x="18961" y="13202"/>
                              </a:lnTo>
                              <a:close/>
                            </a:path>
                          </a:pathLst>
                        </a:custGeom>
                        <a:solidFill>
                          <a:srgbClr val="FFFFFF"/>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1" o:spid="_x0000_s1026" style="position:absolute;margin-left:192.35pt;margin-top:105.1pt;width:67.6pt;height:74.9pt;rotation:-8716439fd;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" path="m18961,13202v230,-780,347,-1589,347,-2402c19308,6101,15498,2292,10800,2292v-4699,,-8508,3809,-8508,8508c2292,15498,6101,19308,10800,19308v1981,,3901,-692,5427,-1957l17690,19116v-1938,1605,-4375,2483,-6890,2484c4835,21600,,16764,,10800,,4835,4835,,10800,v5964,,10800,4835,10800,10800c21600,11832,21451,12859,21160,13850r2590,762l18974,17215,16371,12440r2590,762xe" strokecolor="#4f81bd">
                <v:stroke joinstyle="miter"/>
                <v:path o:connecttype="custom" o:connectlocs="2147483647,2147483647;2147483647,2147483647;2147483647,2147483647;2147483647,2147483647;2147483647,2147483647;2147483647,2147483647" o:connectangles="0,0,0,0,0,0" textboxrect="3163,3163,18437,18437"/>
              </v:shape>
            </w:pict>
          </mc:Fallback>
        </mc:AlternateContent>
      </w:r>
      <w:bookmarkStart w:id="0" w:name="_GoBack"/>
      <w:r w:rsidR="00B80BE8" w:rsidRPr="00502F47">
        <w:rPr>
          <w:rFonts w:cs="Arial"/>
          <w:noProof/>
          <w:lang w:val="fr-FR"/>
        </w:rPr>
        <w:drawing>
          <wp:inline distT="0" distB="0" distL="0" distR="0" wp14:anchorId="63A1349D" wp14:editId="3A6C5715">
            <wp:extent cx="5796501" cy="3037398"/>
            <wp:effectExtent l="0" t="0" r="0" b="10795"/>
            <wp:docPr id="6" name="Diagram 1" descr="Step 1: Buiding multi-stakeholder engagement and agreeing on common criteria for good practice.&#10;Arrow towards step 2.&#10;Step 2:Collection, analysis and documentation of good practices.&#10;Arrow towards step 3.  &#10;Step 3 : Action for change, inclding advocacy based on good practice evidence.&#10;Arrow towards step 1.&#10;&quot;People with disabilities&quot; are in the center of this process." title="MIW methodolgy graph"/>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bookmarkEnd w:id="0"/>
    </w:p>
    <w:p w:rsidR="00CF4755" w:rsidRDefault="00CF4755" w:rsidP="00205DFE">
      <w:pPr>
        <w:spacing w:after="80" w:line="276" w:lineRule="auto"/>
        <w:contextualSpacing/>
        <w:jc w:val="both"/>
        <w:rPr>
          <w:rFonts w:cs="Arial"/>
          <w:bCs/>
          <w:szCs w:val="22"/>
        </w:rPr>
      </w:pPr>
    </w:p>
    <w:p w:rsidR="00B80BE8" w:rsidRPr="00205DFE" w:rsidRDefault="00B80BE8" w:rsidP="00205DFE">
      <w:pPr>
        <w:spacing w:after="80" w:line="276" w:lineRule="auto"/>
        <w:contextualSpacing/>
        <w:jc w:val="both"/>
        <w:rPr>
          <w:rFonts w:cs="Arial"/>
          <w:color w:val="17365D" w:themeColor="text2" w:themeShade="BF"/>
        </w:rPr>
      </w:pPr>
      <w:proofErr w:type="gramStart"/>
      <w:r w:rsidRPr="00205DFE">
        <w:rPr>
          <w:rFonts w:cs="Arial"/>
          <w:b/>
          <w:color w:val="17365D" w:themeColor="text2" w:themeShade="BF"/>
        </w:rPr>
        <w:t>Step</w:t>
      </w:r>
      <w:proofErr w:type="gramEnd"/>
      <w:r w:rsidRPr="00205DFE">
        <w:rPr>
          <w:rFonts w:cs="Arial"/>
          <w:b/>
          <w:color w:val="17365D" w:themeColor="text2" w:themeShade="BF"/>
        </w:rPr>
        <w:t xml:space="preserve"> 1 - Establishing multi-stakeholder engagement</w:t>
      </w:r>
      <w:r w:rsidRPr="00205DFE">
        <w:rPr>
          <w:rFonts w:cs="Arial"/>
          <w:color w:val="17365D" w:themeColor="text2" w:themeShade="BF"/>
        </w:rPr>
        <w:t xml:space="preserve"> </w:t>
      </w:r>
    </w:p>
    <w:p w:rsidR="007E70A9" w:rsidRDefault="007E70A9" w:rsidP="00205DFE">
      <w:pPr>
        <w:pStyle w:val="Paragraphedeliste"/>
        <w:numPr>
          <w:ilvl w:val="0"/>
          <w:numId w:val="8"/>
        </w:numPr>
        <w:tabs>
          <w:tab w:val="left" w:pos="1133"/>
        </w:tabs>
        <w:spacing w:after="80"/>
        <w:jc w:val="both"/>
        <w:rPr>
          <w:rFonts w:cs="Arial"/>
          <w:lang w:val="en-US"/>
        </w:rPr>
      </w:pPr>
      <w:r w:rsidRPr="007E70A9">
        <w:rPr>
          <w:rFonts w:cs="Arial"/>
          <w:lang w:val="en-US"/>
        </w:rPr>
        <w:t>Selecting the appropriate stakeholders to participate in your action.</w:t>
      </w:r>
    </w:p>
    <w:p w:rsidR="007F59B4" w:rsidRDefault="007F59B4" w:rsidP="00205DFE">
      <w:pPr>
        <w:pStyle w:val="Paragraphedeliste"/>
        <w:numPr>
          <w:ilvl w:val="0"/>
          <w:numId w:val="8"/>
        </w:numPr>
        <w:tabs>
          <w:tab w:val="left" w:pos="1133"/>
        </w:tabs>
        <w:spacing w:after="80"/>
        <w:jc w:val="both"/>
        <w:rPr>
          <w:rFonts w:cs="Arial"/>
          <w:lang w:val="en-US"/>
        </w:rPr>
      </w:pPr>
      <w:r>
        <w:rPr>
          <w:rFonts w:cs="Arial"/>
          <w:lang w:val="en-US"/>
        </w:rPr>
        <w:t>Defining what multi-stakeholder collaboration you strive for</w:t>
      </w:r>
    </w:p>
    <w:p w:rsidR="00A55C4F" w:rsidRDefault="007E70A9" w:rsidP="00A55C4F">
      <w:pPr>
        <w:pStyle w:val="Paragraphedeliste"/>
        <w:numPr>
          <w:ilvl w:val="0"/>
          <w:numId w:val="8"/>
        </w:numPr>
        <w:tabs>
          <w:tab w:val="left" w:pos="1133"/>
        </w:tabs>
        <w:spacing w:after="80"/>
        <w:jc w:val="both"/>
        <w:rPr>
          <w:rFonts w:cs="Arial"/>
          <w:lang w:val="en-US"/>
        </w:rPr>
      </w:pPr>
      <w:r w:rsidRPr="007E70A9">
        <w:rPr>
          <w:rFonts w:cs="Arial"/>
          <w:lang w:val="en-US"/>
        </w:rPr>
        <w:t xml:space="preserve">Defining the roles of each person involved in </w:t>
      </w:r>
      <w:r w:rsidR="007F59B4">
        <w:rPr>
          <w:rFonts w:cs="Arial"/>
          <w:lang w:val="en-US"/>
        </w:rPr>
        <w:t>the multi-stakeholder committee</w:t>
      </w:r>
    </w:p>
    <w:p w:rsidR="007F59B4" w:rsidRPr="00A55C4F" w:rsidRDefault="007F59B4" w:rsidP="00A55C4F">
      <w:pPr>
        <w:pStyle w:val="Paragraphedeliste"/>
        <w:numPr>
          <w:ilvl w:val="0"/>
          <w:numId w:val="8"/>
        </w:numPr>
        <w:tabs>
          <w:tab w:val="left" w:pos="1133"/>
        </w:tabs>
        <w:spacing w:after="80"/>
        <w:jc w:val="both"/>
        <w:rPr>
          <w:rFonts w:cs="Arial"/>
          <w:lang w:val="en-US"/>
        </w:rPr>
      </w:pPr>
      <w:r>
        <w:rPr>
          <w:rFonts w:cs="Arial"/>
          <w:lang w:val="en-US"/>
        </w:rPr>
        <w:t>Defining ho</w:t>
      </w:r>
      <w:r w:rsidR="00F056FB">
        <w:rPr>
          <w:rFonts w:cs="Arial"/>
          <w:lang w:val="en-US"/>
        </w:rPr>
        <w:t>w your work will be facilitated, for instance the development of Terms of Reference or any other rule that may help facilitating your work.</w:t>
      </w:r>
    </w:p>
    <w:tbl>
      <w:tblPr>
        <w:tblStyle w:val="Grilledutableau"/>
        <w:tblW w:w="0" w:type="auto"/>
        <w:tblInd w:w="-34" w:type="dxa"/>
        <w:tblLook w:val="04A0" w:firstRow="1" w:lastRow="0" w:firstColumn="1" w:lastColumn="0" w:noHBand="0" w:noVBand="1"/>
      </w:tblPr>
      <w:tblGrid>
        <w:gridCol w:w="9246"/>
      </w:tblGrid>
      <w:tr w:rsidR="00A55C4F" w:rsidTr="004F2C40">
        <w:tc>
          <w:tcPr>
            <w:tcW w:w="9246" w:type="dxa"/>
          </w:tcPr>
          <w:p w:rsidR="00A55C4F" w:rsidRDefault="00A55C4F" w:rsidP="00A55C4F">
            <w:pPr>
              <w:tabs>
                <w:tab w:val="left" w:pos="1133"/>
              </w:tabs>
              <w:spacing w:after="80"/>
              <w:jc w:val="both"/>
              <w:rPr>
                <w:rFonts w:cs="Arial"/>
                <w:lang w:val="en-US"/>
              </w:rPr>
            </w:pPr>
            <w:r w:rsidRPr="00A55C4F">
              <w:rPr>
                <w:rFonts w:cs="Arial"/>
                <w:u w:val="single"/>
                <w:lang w:val="en-US"/>
              </w:rPr>
              <w:t>Example</w:t>
            </w:r>
          </w:p>
          <w:p w:rsidR="00A55C4F" w:rsidRPr="004F2C40" w:rsidRDefault="004F2C40" w:rsidP="004F2C40">
            <w:pPr>
              <w:jc w:val="both"/>
              <w:rPr>
                <w:lang w:val="en-US"/>
              </w:rPr>
            </w:pPr>
            <w:r w:rsidRPr="004F2C40">
              <w:rPr>
                <w:rFonts w:cs="Arial"/>
                <w:lang w:val="en-US"/>
              </w:rPr>
              <w:t xml:space="preserve">In a </w:t>
            </w:r>
            <w:r>
              <w:rPr>
                <w:lang w:val="en-US"/>
              </w:rPr>
              <w:t>r</w:t>
            </w:r>
            <w:r w:rsidRPr="004F2C40">
              <w:rPr>
                <w:lang w:val="en-US"/>
              </w:rPr>
              <w:t>apid collection of existing good practices that demonstrate people with disabilities accessing</w:t>
            </w:r>
            <w:r>
              <w:rPr>
                <w:lang w:val="en-US"/>
              </w:rPr>
              <w:t xml:space="preserve"> HIV prevention and treatment services in Addis Ababa (Ethiopia), the multi stakeholder engagement was created by gathering together local DPOs and NGOs working on HIV/AIDS prevention and treatment issues. The group formed a multi-stakeholder committee to guide the MIW process and build a collaborative advocacy strategy leading to the development of an action network.  </w:t>
            </w:r>
          </w:p>
        </w:tc>
      </w:tr>
    </w:tbl>
    <w:p w:rsidR="00A55C4F" w:rsidRPr="00A55C4F" w:rsidRDefault="00A55C4F" w:rsidP="00A55C4F">
      <w:pPr>
        <w:tabs>
          <w:tab w:val="left" w:pos="1133"/>
        </w:tabs>
        <w:spacing w:after="80"/>
        <w:jc w:val="both"/>
        <w:rPr>
          <w:rFonts w:cs="Arial"/>
          <w:lang w:val="en-US"/>
        </w:rPr>
      </w:pPr>
    </w:p>
    <w:p w:rsidR="007E70A9" w:rsidRPr="00205DFE" w:rsidRDefault="00B80BE8" w:rsidP="00205DFE">
      <w:pPr>
        <w:tabs>
          <w:tab w:val="left" w:pos="1133"/>
        </w:tabs>
        <w:spacing w:after="80" w:line="276" w:lineRule="auto"/>
        <w:contextualSpacing/>
        <w:jc w:val="both"/>
        <w:rPr>
          <w:rFonts w:cs="Arial"/>
          <w:color w:val="17365D" w:themeColor="text2" w:themeShade="BF"/>
        </w:rPr>
      </w:pPr>
      <w:r w:rsidRPr="00205DFE">
        <w:rPr>
          <w:rFonts w:cs="Arial"/>
          <w:b/>
          <w:color w:val="17365D" w:themeColor="text2" w:themeShade="BF"/>
        </w:rPr>
        <w:t>Step 2</w:t>
      </w:r>
      <w:r w:rsidRPr="00205DFE">
        <w:rPr>
          <w:rFonts w:cs="Arial"/>
          <w:color w:val="17365D" w:themeColor="text2" w:themeShade="BF"/>
        </w:rPr>
        <w:t xml:space="preserve"> - </w:t>
      </w:r>
      <w:r w:rsidRPr="00205DFE">
        <w:rPr>
          <w:rFonts w:cs="Arial"/>
          <w:b/>
          <w:color w:val="17365D" w:themeColor="text2" w:themeShade="BF"/>
        </w:rPr>
        <w:t>Documenting and analysing good practices</w:t>
      </w:r>
    </w:p>
    <w:p w:rsidR="00705FFA" w:rsidRDefault="00705FFA" w:rsidP="00205DFE">
      <w:pPr>
        <w:pStyle w:val="Paragraphedeliste"/>
        <w:numPr>
          <w:ilvl w:val="0"/>
          <w:numId w:val="8"/>
        </w:numPr>
        <w:spacing w:after="80"/>
        <w:jc w:val="both"/>
        <w:rPr>
          <w:rFonts w:cs="Arial"/>
          <w:lang w:val="en-US"/>
        </w:rPr>
      </w:pPr>
      <w:r>
        <w:rPr>
          <w:rFonts w:cs="Arial"/>
          <w:lang w:val="en-US"/>
        </w:rPr>
        <w:t xml:space="preserve">Defining </w:t>
      </w:r>
      <w:r w:rsidR="004F2C40">
        <w:rPr>
          <w:rFonts w:cs="Arial"/>
          <w:lang w:val="en-US"/>
        </w:rPr>
        <w:t>t</w:t>
      </w:r>
      <w:r>
        <w:rPr>
          <w:rFonts w:cs="Arial"/>
          <w:lang w:val="en-US"/>
        </w:rPr>
        <w:t>he criteria for the good practice collection</w:t>
      </w:r>
    </w:p>
    <w:p w:rsidR="007E70A9" w:rsidRDefault="007E70A9" w:rsidP="00205DFE">
      <w:pPr>
        <w:pStyle w:val="Paragraphedeliste"/>
        <w:numPr>
          <w:ilvl w:val="0"/>
          <w:numId w:val="8"/>
        </w:numPr>
        <w:spacing w:after="80"/>
        <w:jc w:val="both"/>
        <w:rPr>
          <w:rFonts w:cs="Arial"/>
          <w:lang w:val="en-US"/>
        </w:rPr>
      </w:pPr>
      <w:r w:rsidRPr="007E70A9">
        <w:rPr>
          <w:rFonts w:cs="Arial"/>
          <w:lang w:val="en-US"/>
        </w:rPr>
        <w:t>Collecting information about a good practice</w:t>
      </w:r>
      <w:r w:rsidR="00705FFA">
        <w:rPr>
          <w:rFonts w:cs="Arial"/>
          <w:lang w:val="en-US"/>
        </w:rPr>
        <w:t xml:space="preserve"> through field investigation, interviews or workshops.</w:t>
      </w:r>
      <w:r w:rsidRPr="007E70A9">
        <w:rPr>
          <w:rFonts w:cs="Arial"/>
          <w:lang w:val="en-US"/>
        </w:rPr>
        <w:t xml:space="preserve"> </w:t>
      </w:r>
    </w:p>
    <w:p w:rsidR="007E70A9" w:rsidRDefault="00705FFA" w:rsidP="00205DFE">
      <w:pPr>
        <w:pStyle w:val="Paragraphedeliste"/>
        <w:numPr>
          <w:ilvl w:val="0"/>
          <w:numId w:val="8"/>
        </w:numPr>
        <w:spacing w:after="80"/>
        <w:jc w:val="both"/>
        <w:rPr>
          <w:rFonts w:cs="Arial"/>
          <w:lang w:val="en-US"/>
        </w:rPr>
      </w:pPr>
      <w:r>
        <w:rPr>
          <w:rFonts w:cs="Arial"/>
          <w:lang w:val="en-US"/>
        </w:rPr>
        <w:t>Producing a</w:t>
      </w:r>
      <w:r w:rsidR="007E70A9">
        <w:rPr>
          <w:rFonts w:cs="Arial"/>
          <w:lang w:val="en-US"/>
        </w:rPr>
        <w:t xml:space="preserve"> publication </w:t>
      </w:r>
      <w:r>
        <w:rPr>
          <w:rFonts w:cs="Arial"/>
          <w:lang w:val="en-US"/>
        </w:rPr>
        <w:t xml:space="preserve">(or media support i.e. a video or interviews or picture slides) </w:t>
      </w:r>
      <w:r w:rsidR="007E70A9">
        <w:rPr>
          <w:rFonts w:cs="Arial"/>
          <w:lang w:val="en-US"/>
        </w:rPr>
        <w:t>o</w:t>
      </w:r>
      <w:r>
        <w:rPr>
          <w:rFonts w:cs="Arial"/>
          <w:lang w:val="en-US"/>
        </w:rPr>
        <w:t xml:space="preserve">n this good practice featuring the recommendations developed through a participatory and </w:t>
      </w:r>
      <w:proofErr w:type="spellStart"/>
      <w:r>
        <w:rPr>
          <w:rFonts w:cs="Arial"/>
          <w:lang w:val="en-US"/>
        </w:rPr>
        <w:t>multistakeholder</w:t>
      </w:r>
      <w:proofErr w:type="spellEnd"/>
      <w:r>
        <w:rPr>
          <w:rFonts w:cs="Arial"/>
          <w:lang w:val="en-US"/>
        </w:rPr>
        <w:t xml:space="preserve"> process.</w:t>
      </w:r>
      <w:r w:rsidR="007E70A9">
        <w:rPr>
          <w:rFonts w:cs="Arial"/>
          <w:lang w:val="en-US"/>
        </w:rPr>
        <w:t xml:space="preserve"> </w:t>
      </w:r>
    </w:p>
    <w:tbl>
      <w:tblPr>
        <w:tblStyle w:val="Grilledutableau"/>
        <w:tblW w:w="0" w:type="auto"/>
        <w:tblLook w:val="04A0" w:firstRow="1" w:lastRow="0" w:firstColumn="1" w:lastColumn="0" w:noHBand="0" w:noVBand="1"/>
      </w:tblPr>
      <w:tblGrid>
        <w:gridCol w:w="9180"/>
      </w:tblGrid>
      <w:tr w:rsidR="004F2C40" w:rsidTr="004F2C40">
        <w:tc>
          <w:tcPr>
            <w:tcW w:w="9180" w:type="dxa"/>
          </w:tcPr>
          <w:p w:rsidR="004F2C40" w:rsidRDefault="004F2C40" w:rsidP="00A55C4F">
            <w:pPr>
              <w:spacing w:after="80"/>
              <w:jc w:val="both"/>
              <w:rPr>
                <w:rFonts w:cs="Arial"/>
                <w:lang w:val="en-US"/>
              </w:rPr>
            </w:pPr>
            <w:r w:rsidRPr="004F2C40">
              <w:rPr>
                <w:rFonts w:cs="Arial"/>
                <w:u w:val="single"/>
                <w:lang w:val="en-US"/>
              </w:rPr>
              <w:t>Example</w:t>
            </w:r>
          </w:p>
          <w:p w:rsidR="004F2C40" w:rsidRDefault="004F2C40" w:rsidP="004F2C40">
            <w:pPr>
              <w:jc w:val="both"/>
              <w:rPr>
                <w:lang w:val="en-US"/>
              </w:rPr>
            </w:pPr>
            <w:r>
              <w:rPr>
                <w:lang w:val="en-US"/>
              </w:rPr>
              <w:t xml:space="preserve">Good practices will help to inform the design and implementation of the pilot project.  In addition, local HIV prevention and treatment service providers have a better understanding on how to make their services accessible to people with disabilities.  NGOs involved in HIV prevention and treatment service issues are aware of the need for inclusion of people with disabilities.  DPOs have a better understanding of HIV prevention and treatment services and how to promote inclusion of people </w:t>
            </w:r>
            <w:r>
              <w:rPr>
                <w:lang w:val="en-US"/>
              </w:rPr>
              <w:lastRenderedPageBreak/>
              <w:t xml:space="preserve">with disabilities in these services. DPOs can act as advocates on this issue and can provide consultation to service providers on inclusion issues.  Relationships have been formed between DPOs, service providers and NGOs so that a network exists on inclusive HIV prevention and treatment services.   </w:t>
            </w:r>
          </w:p>
          <w:p w:rsidR="004F2C40" w:rsidRDefault="004F2C40" w:rsidP="00A55C4F">
            <w:pPr>
              <w:spacing w:after="80"/>
              <w:jc w:val="both"/>
              <w:rPr>
                <w:rFonts w:cs="Arial"/>
                <w:lang w:val="en-US"/>
              </w:rPr>
            </w:pPr>
          </w:p>
        </w:tc>
      </w:tr>
    </w:tbl>
    <w:p w:rsidR="00A55C4F" w:rsidRDefault="00705FFA" w:rsidP="00A55C4F">
      <w:pPr>
        <w:spacing w:after="80"/>
        <w:jc w:val="both"/>
        <w:rPr>
          <w:rFonts w:cs="Arial"/>
          <w:lang w:val="en-US"/>
        </w:rPr>
      </w:pPr>
      <w:r>
        <w:rPr>
          <w:rFonts w:cs="Arial"/>
          <w:lang w:val="en-US"/>
        </w:rPr>
        <w:lastRenderedPageBreak/>
        <w:t>It is very important to define your target when planning your good practice collection.</w:t>
      </w:r>
    </w:p>
    <w:tbl>
      <w:tblPr>
        <w:tblStyle w:val="Grilledutableau"/>
        <w:tblW w:w="0" w:type="auto"/>
        <w:tblLook w:val="04A0" w:firstRow="1" w:lastRow="0" w:firstColumn="1" w:lastColumn="0" w:noHBand="0" w:noVBand="1"/>
      </w:tblPr>
      <w:tblGrid>
        <w:gridCol w:w="9180"/>
      </w:tblGrid>
      <w:tr w:rsidR="004F2C40" w:rsidTr="004F2C40">
        <w:tc>
          <w:tcPr>
            <w:tcW w:w="9180" w:type="dxa"/>
          </w:tcPr>
          <w:p w:rsidR="004F2C40" w:rsidRDefault="004F2C40" w:rsidP="00A55C4F">
            <w:pPr>
              <w:spacing w:after="80"/>
              <w:jc w:val="both"/>
              <w:rPr>
                <w:rFonts w:cs="Arial"/>
                <w:lang w:val="en-US"/>
              </w:rPr>
            </w:pPr>
            <w:r w:rsidRPr="004F2C40">
              <w:rPr>
                <w:rFonts w:cs="Arial"/>
                <w:u w:val="single"/>
                <w:lang w:val="en-US"/>
              </w:rPr>
              <w:t>Example</w:t>
            </w:r>
          </w:p>
          <w:p w:rsidR="004F2C40" w:rsidRPr="004F2C40" w:rsidRDefault="004F2C40" w:rsidP="004F2C40">
            <w:pPr>
              <w:jc w:val="both"/>
              <w:rPr>
                <w:lang w:val="en-US"/>
              </w:rPr>
            </w:pPr>
            <w:r>
              <w:rPr>
                <w:rFonts w:cs="Arial"/>
                <w:lang w:val="en-US"/>
              </w:rPr>
              <w:t xml:space="preserve">In this case, for instance, targets group were: </w:t>
            </w:r>
            <w:r>
              <w:rPr>
                <w:lang w:val="en-US"/>
              </w:rPr>
              <w:t>Local HIV prevention and treatment service providers, HAPCO, national network on HIV/AIDS in Ethiopia, international organizations working on HIV/AIDS prevention and treatment, NGOs working on HIV/AIDS prevention and treatment.</w:t>
            </w:r>
          </w:p>
        </w:tc>
      </w:tr>
    </w:tbl>
    <w:p w:rsidR="00705FFA" w:rsidRPr="00A55C4F" w:rsidRDefault="00705FFA" w:rsidP="00A55C4F">
      <w:pPr>
        <w:spacing w:after="80"/>
        <w:jc w:val="both"/>
        <w:rPr>
          <w:rFonts w:cs="Arial"/>
          <w:lang w:val="en-US"/>
        </w:rPr>
      </w:pPr>
    </w:p>
    <w:p w:rsidR="00B80BE8" w:rsidRPr="00205DFE" w:rsidRDefault="00B80BE8" w:rsidP="00205DFE">
      <w:pPr>
        <w:spacing w:after="80" w:line="276" w:lineRule="auto"/>
        <w:contextualSpacing/>
        <w:jc w:val="both"/>
        <w:rPr>
          <w:rFonts w:cs="Arial"/>
          <w:b/>
          <w:color w:val="17365D" w:themeColor="text2" w:themeShade="BF"/>
        </w:rPr>
      </w:pPr>
      <w:r w:rsidRPr="00205DFE">
        <w:rPr>
          <w:rFonts w:cs="Arial"/>
          <w:b/>
          <w:color w:val="17365D" w:themeColor="text2" w:themeShade="BF"/>
        </w:rPr>
        <w:t>Step 3 - Actions for change</w:t>
      </w:r>
      <w:r w:rsidR="003E4A1A">
        <w:rPr>
          <w:rFonts w:cs="Arial"/>
          <w:b/>
          <w:color w:val="17365D" w:themeColor="text2" w:themeShade="BF"/>
        </w:rPr>
        <w:t xml:space="preserve"> </w:t>
      </w:r>
    </w:p>
    <w:p w:rsidR="007E70A9" w:rsidRDefault="007E70A9" w:rsidP="00205DFE">
      <w:pPr>
        <w:pStyle w:val="Paragraphedeliste"/>
        <w:numPr>
          <w:ilvl w:val="0"/>
          <w:numId w:val="8"/>
        </w:numPr>
        <w:spacing w:after="80"/>
        <w:jc w:val="both"/>
        <w:rPr>
          <w:rFonts w:cs="Arial"/>
          <w:lang w:val="en-US"/>
        </w:rPr>
      </w:pPr>
      <w:r w:rsidRPr="007E70A9">
        <w:rPr>
          <w:rFonts w:cs="Arial"/>
          <w:lang w:val="en-US"/>
        </w:rPr>
        <w:t>Strategizing on how to influence change</w:t>
      </w:r>
      <w:r>
        <w:rPr>
          <w:rFonts w:cs="Arial"/>
          <w:lang w:val="en-US"/>
        </w:rPr>
        <w:t>.</w:t>
      </w:r>
    </w:p>
    <w:p w:rsidR="003E4A1A" w:rsidRDefault="003E4A1A" w:rsidP="00205DFE">
      <w:pPr>
        <w:pStyle w:val="Paragraphedeliste"/>
        <w:numPr>
          <w:ilvl w:val="0"/>
          <w:numId w:val="8"/>
        </w:numPr>
        <w:spacing w:after="80"/>
        <w:jc w:val="both"/>
        <w:rPr>
          <w:rFonts w:cs="Arial"/>
          <w:lang w:val="en-US"/>
        </w:rPr>
      </w:pPr>
      <w:r>
        <w:rPr>
          <w:rFonts w:cs="Arial"/>
          <w:lang w:val="en-US"/>
        </w:rPr>
        <w:t>Defining what processes or services you wish to change.</w:t>
      </w:r>
    </w:p>
    <w:p w:rsidR="007E70A9" w:rsidRDefault="007E70A9" w:rsidP="00205DFE">
      <w:pPr>
        <w:pStyle w:val="Paragraphedeliste"/>
        <w:numPr>
          <w:ilvl w:val="0"/>
          <w:numId w:val="8"/>
        </w:numPr>
        <w:spacing w:after="80"/>
        <w:jc w:val="both"/>
        <w:rPr>
          <w:rFonts w:cs="Arial"/>
          <w:lang w:val="en-US"/>
        </w:rPr>
      </w:pPr>
      <w:r w:rsidRPr="009229F9">
        <w:rPr>
          <w:rFonts w:cs="Arial"/>
          <w:lang w:val="en-US"/>
        </w:rPr>
        <w:t>Disseminating information and engaging with target groups</w:t>
      </w:r>
    </w:p>
    <w:p w:rsidR="003E4A1A" w:rsidRPr="007E70A9" w:rsidRDefault="003E4A1A" w:rsidP="00205DFE">
      <w:pPr>
        <w:pStyle w:val="Paragraphedeliste"/>
        <w:numPr>
          <w:ilvl w:val="0"/>
          <w:numId w:val="8"/>
        </w:numPr>
        <w:spacing w:after="80"/>
        <w:jc w:val="both"/>
        <w:rPr>
          <w:rFonts w:cs="Arial"/>
          <w:lang w:val="en-US"/>
        </w:rPr>
      </w:pPr>
      <w:r>
        <w:rPr>
          <w:rFonts w:cs="Arial"/>
          <w:lang w:val="en-US"/>
        </w:rPr>
        <w:t>Raising awareness, sensitizing and advocating, through the evidence collected, to see the change you’ve strategized for.</w:t>
      </w:r>
    </w:p>
    <w:tbl>
      <w:tblPr>
        <w:tblStyle w:val="Grilledutableau"/>
        <w:tblW w:w="0" w:type="auto"/>
        <w:tblInd w:w="-34" w:type="dxa"/>
        <w:tblLook w:val="04A0" w:firstRow="1" w:lastRow="0" w:firstColumn="1" w:lastColumn="0" w:noHBand="0" w:noVBand="1"/>
      </w:tblPr>
      <w:tblGrid>
        <w:gridCol w:w="9246"/>
      </w:tblGrid>
      <w:tr w:rsidR="00205DFE" w:rsidTr="004F2C40">
        <w:tc>
          <w:tcPr>
            <w:tcW w:w="9246" w:type="dxa"/>
          </w:tcPr>
          <w:p w:rsidR="00205DFE" w:rsidRPr="004F2C40" w:rsidRDefault="003E4A1A" w:rsidP="004F2C40">
            <w:pPr>
              <w:spacing w:after="80" w:line="276" w:lineRule="auto"/>
              <w:ind w:left="34"/>
              <w:contextualSpacing/>
              <w:jc w:val="both"/>
              <w:rPr>
                <w:rFonts w:cs="Arial"/>
                <w:bCs/>
                <w:szCs w:val="22"/>
              </w:rPr>
            </w:pPr>
            <w:r w:rsidRPr="004F2C40">
              <w:rPr>
                <w:rFonts w:cs="Arial"/>
                <w:bCs/>
                <w:szCs w:val="22"/>
                <w:u w:val="single"/>
              </w:rPr>
              <w:t>Example</w:t>
            </w:r>
          </w:p>
          <w:p w:rsidR="00205DFE" w:rsidRPr="004F2C40" w:rsidRDefault="004F2C40" w:rsidP="004F2C40">
            <w:pPr>
              <w:jc w:val="both"/>
              <w:rPr>
                <w:lang w:val="en-US"/>
              </w:rPr>
            </w:pPr>
            <w:r w:rsidRPr="004F2C40">
              <w:rPr>
                <w:rFonts w:cs="Arial"/>
                <w:bCs/>
                <w:szCs w:val="22"/>
              </w:rPr>
              <w:t>The changes you want are those your target group need for. In this</w:t>
            </w:r>
            <w:r>
              <w:rPr>
                <w:rFonts w:cs="Arial"/>
                <w:bCs/>
                <w:szCs w:val="22"/>
              </w:rPr>
              <w:t xml:space="preserve"> </w:t>
            </w:r>
            <w:r w:rsidRPr="004F2C40">
              <w:rPr>
                <w:rFonts w:cs="Arial"/>
                <w:bCs/>
                <w:szCs w:val="22"/>
              </w:rPr>
              <w:t xml:space="preserve">case, </w:t>
            </w:r>
            <w:r w:rsidRPr="004F2C40">
              <w:rPr>
                <w:lang w:val="en-US"/>
              </w:rPr>
              <w:t xml:space="preserve">Local HIV/AIDS prevention and treatment service providers have an understanding of how to make services inclusive and accessible to people with disabilities.  They have formed relationships with DPOs.  DPOs have a stronger understanding of HIV/AIDS issues and can promote inclusive HIV/AIDS prevention and treatment services in their work.   The national network on HIV/AIDS issues in Ethiopia is aware of the good practices that exist and has begun to promote an inclusive agenda within their work.  An action network is formed as a result of the multi-stakeholder committee’s work to promote inclusive HIV/AIDS prevention and treatment services and provide technical guidance to local service providers.  NGOs are beginning to make their work inclusive and they are forming relationships with DPOs. Advocacy activities included trainings for local HIV prevention and treatment service providers, NGOs and DPOs in which the groups will develop strategies for collaboration and partnership.  The good practice film will be used for awareness raising activities on a national level to bring visibility to disability and HIV/AIDS issues. The good practices collected also served as a basis for learning as the pilot project is developed and implemented.  </w:t>
            </w:r>
          </w:p>
        </w:tc>
      </w:tr>
    </w:tbl>
    <w:p w:rsidR="00621BA7" w:rsidRDefault="00621BA7" w:rsidP="00205DFE">
      <w:pPr>
        <w:spacing w:after="80" w:line="276" w:lineRule="auto"/>
        <w:contextualSpacing/>
        <w:jc w:val="both"/>
        <w:rPr>
          <w:rFonts w:cs="Arial"/>
          <w:b/>
          <w:bCs/>
          <w:szCs w:val="22"/>
          <w:lang w:val="en-US"/>
        </w:rPr>
      </w:pPr>
    </w:p>
    <w:p w:rsidR="00CF4755" w:rsidRPr="000F1C24" w:rsidRDefault="00CF4755" w:rsidP="00205DFE">
      <w:pPr>
        <w:spacing w:after="80" w:line="276" w:lineRule="auto"/>
        <w:contextualSpacing/>
        <w:jc w:val="both"/>
        <w:rPr>
          <w:rFonts w:cs="Arial"/>
          <w:szCs w:val="22"/>
        </w:rPr>
      </w:pPr>
    </w:p>
    <w:p w:rsidR="00B80BE8" w:rsidRPr="00205DFE" w:rsidRDefault="00205DFE" w:rsidP="00205DFE">
      <w:pPr>
        <w:shd w:val="clear" w:color="auto" w:fill="17365D" w:themeFill="text2" w:themeFillShade="BF"/>
        <w:spacing w:after="80" w:line="276" w:lineRule="auto"/>
        <w:contextualSpacing/>
        <w:jc w:val="both"/>
        <w:rPr>
          <w:rFonts w:cs="Arial"/>
          <w:b/>
          <w:bCs/>
          <w:color w:val="FFFFFF" w:themeColor="background1"/>
          <w:sz w:val="24"/>
        </w:rPr>
      </w:pPr>
      <w:r>
        <w:rPr>
          <w:rFonts w:cs="Arial"/>
          <w:b/>
          <w:bCs/>
          <w:color w:val="FFFFFF" w:themeColor="background1"/>
          <w:sz w:val="24"/>
        </w:rPr>
        <w:t xml:space="preserve"> </w:t>
      </w:r>
      <w:r w:rsidR="00B80BE8" w:rsidRPr="00205DFE">
        <w:rPr>
          <w:rFonts w:cs="Arial"/>
          <w:b/>
          <w:bCs/>
          <w:color w:val="FFFFFF" w:themeColor="background1"/>
          <w:sz w:val="24"/>
        </w:rPr>
        <w:t xml:space="preserve">What is a good practice </w:t>
      </w:r>
      <w:r w:rsidR="000052B9">
        <w:rPr>
          <w:rFonts w:cs="Arial"/>
          <w:b/>
          <w:bCs/>
          <w:color w:val="FFFFFF" w:themeColor="background1"/>
          <w:sz w:val="24"/>
        </w:rPr>
        <w:t>for</w:t>
      </w:r>
      <w:r w:rsidR="00B80BE8" w:rsidRPr="00205DFE">
        <w:rPr>
          <w:rFonts w:cs="Arial"/>
          <w:b/>
          <w:bCs/>
          <w:color w:val="FFFFFF" w:themeColor="background1"/>
          <w:sz w:val="24"/>
        </w:rPr>
        <w:t xml:space="preserve"> M</w:t>
      </w:r>
      <w:r w:rsidR="000052B9">
        <w:rPr>
          <w:rFonts w:cs="Arial"/>
          <w:b/>
          <w:bCs/>
          <w:color w:val="FFFFFF" w:themeColor="background1"/>
          <w:sz w:val="24"/>
        </w:rPr>
        <w:t xml:space="preserve">aking </w:t>
      </w:r>
      <w:r w:rsidR="00B80BE8" w:rsidRPr="00205DFE">
        <w:rPr>
          <w:rFonts w:cs="Arial"/>
          <w:b/>
          <w:bCs/>
          <w:color w:val="FFFFFF" w:themeColor="background1"/>
          <w:sz w:val="24"/>
        </w:rPr>
        <w:t>I</w:t>
      </w:r>
      <w:r w:rsidR="000052B9">
        <w:rPr>
          <w:rFonts w:cs="Arial"/>
          <w:b/>
          <w:bCs/>
          <w:color w:val="FFFFFF" w:themeColor="background1"/>
          <w:sz w:val="24"/>
        </w:rPr>
        <w:t xml:space="preserve">t </w:t>
      </w:r>
      <w:r w:rsidR="00B80BE8" w:rsidRPr="00205DFE">
        <w:rPr>
          <w:rFonts w:cs="Arial"/>
          <w:b/>
          <w:bCs/>
          <w:color w:val="FFFFFF" w:themeColor="background1"/>
          <w:sz w:val="24"/>
        </w:rPr>
        <w:t>W</w:t>
      </w:r>
      <w:r w:rsidR="000052B9">
        <w:rPr>
          <w:rFonts w:cs="Arial"/>
          <w:b/>
          <w:bCs/>
          <w:color w:val="FFFFFF" w:themeColor="background1"/>
          <w:sz w:val="24"/>
        </w:rPr>
        <w:t>ork</w:t>
      </w:r>
      <w:r w:rsidR="00B80BE8" w:rsidRPr="00205DFE">
        <w:rPr>
          <w:rFonts w:cs="Arial"/>
          <w:b/>
          <w:bCs/>
          <w:color w:val="FFFFFF" w:themeColor="background1"/>
          <w:sz w:val="24"/>
        </w:rPr>
        <w:t>?</w:t>
      </w:r>
    </w:p>
    <w:p w:rsidR="00205DFE" w:rsidRDefault="00205DFE" w:rsidP="00205DFE">
      <w:pPr>
        <w:autoSpaceDE w:val="0"/>
        <w:autoSpaceDN w:val="0"/>
        <w:adjustRightInd w:val="0"/>
        <w:spacing w:after="80" w:line="276" w:lineRule="auto"/>
        <w:contextualSpacing/>
        <w:jc w:val="both"/>
        <w:rPr>
          <w:rFonts w:cs="Arial"/>
          <w:lang w:val="en-US"/>
        </w:rPr>
      </w:pPr>
    </w:p>
    <w:p w:rsidR="00EB03B5" w:rsidRDefault="00EB03B5" w:rsidP="00865325">
      <w:pPr>
        <w:autoSpaceDE w:val="0"/>
        <w:autoSpaceDN w:val="0"/>
        <w:adjustRightInd w:val="0"/>
        <w:spacing w:after="80" w:line="276" w:lineRule="auto"/>
        <w:contextualSpacing/>
        <w:jc w:val="both"/>
        <w:rPr>
          <w:rFonts w:cs="Arial"/>
          <w:color w:val="000000"/>
          <w:lang w:val="en-US"/>
        </w:rPr>
      </w:pPr>
      <w:r w:rsidRPr="00514C91">
        <w:rPr>
          <w:rFonts w:cs="Arial"/>
          <w:lang w:val="en-US"/>
        </w:rPr>
        <w:t>The term “good practice” refers to a practice that facilitates the “</w:t>
      </w:r>
      <w:r w:rsidRPr="00514C91">
        <w:rPr>
          <w:rFonts w:cs="Arial"/>
          <w:i/>
          <w:lang w:val="en-US"/>
        </w:rPr>
        <w:t>full and effective participation in society on an equal basis with others</w:t>
      </w:r>
      <w:r w:rsidRPr="00514C91">
        <w:rPr>
          <w:rFonts w:cs="Arial"/>
          <w:lang w:val="en-US"/>
        </w:rPr>
        <w:t xml:space="preserve">” (CRPD, Preamble), and actions that people with disabilities have confirmed as having a positive impact. </w:t>
      </w:r>
      <w:r w:rsidRPr="00514C91">
        <w:rPr>
          <w:rFonts w:cs="Arial"/>
          <w:color w:val="000000"/>
          <w:lang w:val="en-US"/>
        </w:rPr>
        <w:t xml:space="preserve">Initiatives using MIW </w:t>
      </w:r>
      <w:r>
        <w:rPr>
          <w:rFonts w:cs="Arial"/>
          <w:color w:val="000000"/>
          <w:lang w:val="en-US"/>
        </w:rPr>
        <w:t xml:space="preserve">can </w:t>
      </w:r>
      <w:r w:rsidRPr="00514C91">
        <w:rPr>
          <w:rFonts w:cs="Arial"/>
          <w:color w:val="000000"/>
          <w:lang w:val="en-US"/>
        </w:rPr>
        <w:t xml:space="preserve">establish their own criteria to identify such practices in a multi-stakeholder process. </w:t>
      </w:r>
    </w:p>
    <w:p w:rsidR="00205DFE" w:rsidRPr="00514C91" w:rsidRDefault="00205DFE" w:rsidP="00865325">
      <w:pPr>
        <w:autoSpaceDE w:val="0"/>
        <w:autoSpaceDN w:val="0"/>
        <w:adjustRightInd w:val="0"/>
        <w:spacing w:after="80" w:line="276" w:lineRule="auto"/>
        <w:contextualSpacing/>
        <w:jc w:val="both"/>
        <w:rPr>
          <w:rFonts w:cs="Arial"/>
          <w:color w:val="000000"/>
          <w:lang w:val="en-US"/>
        </w:rPr>
      </w:pPr>
    </w:p>
    <w:p w:rsidR="00EB03B5" w:rsidRPr="00514C91" w:rsidRDefault="00EB03B5" w:rsidP="00865325">
      <w:pPr>
        <w:autoSpaceDE w:val="0"/>
        <w:autoSpaceDN w:val="0"/>
        <w:adjustRightInd w:val="0"/>
        <w:spacing w:after="80" w:line="276" w:lineRule="auto"/>
        <w:contextualSpacing/>
        <w:jc w:val="both"/>
        <w:rPr>
          <w:rFonts w:cs="Arial"/>
          <w:color w:val="000000"/>
          <w:lang w:val="en-US"/>
        </w:rPr>
      </w:pPr>
      <w:r w:rsidRPr="00514C91">
        <w:rPr>
          <w:rFonts w:cs="Arial"/>
          <w:color w:val="000000"/>
          <w:lang w:val="en-US"/>
        </w:rPr>
        <w:t>We propose</w:t>
      </w:r>
      <w:r>
        <w:rPr>
          <w:rFonts w:cs="Arial"/>
          <w:color w:val="000000"/>
          <w:lang w:val="en-US"/>
        </w:rPr>
        <w:t xml:space="preserve"> the following</w:t>
      </w:r>
      <w:r w:rsidRPr="00514C91">
        <w:rPr>
          <w:rFonts w:cs="Arial"/>
          <w:color w:val="000000"/>
          <w:lang w:val="en-US"/>
        </w:rPr>
        <w:t xml:space="preserve"> standard </w:t>
      </w:r>
      <w:r>
        <w:rPr>
          <w:rFonts w:cs="Arial"/>
          <w:color w:val="000000"/>
          <w:lang w:val="en-US"/>
        </w:rPr>
        <w:t xml:space="preserve">criteria that may be used as a </w:t>
      </w:r>
      <w:r w:rsidRPr="00514C91">
        <w:rPr>
          <w:rFonts w:cs="Arial"/>
          <w:color w:val="000000"/>
          <w:lang w:val="en-US"/>
        </w:rPr>
        <w:t>starting point to be adapted to each context:</w:t>
      </w:r>
    </w:p>
    <w:p w:rsidR="00EB03B5" w:rsidRPr="00514C91" w:rsidRDefault="00EB03B5" w:rsidP="00865325">
      <w:pPr>
        <w:numPr>
          <w:ilvl w:val="0"/>
          <w:numId w:val="5"/>
        </w:numPr>
        <w:spacing w:after="80" w:line="276" w:lineRule="auto"/>
        <w:contextualSpacing/>
        <w:jc w:val="both"/>
        <w:rPr>
          <w:rFonts w:cs="Arial"/>
          <w:lang w:val="en-US"/>
        </w:rPr>
      </w:pPr>
      <w:r w:rsidRPr="00205DFE">
        <w:rPr>
          <w:rStyle w:val="Emphaseintense"/>
          <w:color w:val="17365D" w:themeColor="text2" w:themeShade="BF"/>
          <w:lang w:val="en-US"/>
        </w:rPr>
        <w:t>Demonstrable Impact</w:t>
      </w:r>
      <w:r w:rsidRPr="00514C91">
        <w:rPr>
          <w:rFonts w:cs="Arial"/>
          <w:bCs/>
          <w:lang w:val="en-US"/>
        </w:rPr>
        <w:t>:</w:t>
      </w:r>
      <w:r w:rsidRPr="00514C91">
        <w:rPr>
          <w:rFonts w:cs="Arial"/>
          <w:lang w:val="en-US"/>
        </w:rPr>
        <w:t xml:space="preserve"> clear recorded change and positive impact.</w:t>
      </w:r>
    </w:p>
    <w:p w:rsidR="00EB03B5" w:rsidRPr="00514C91" w:rsidRDefault="00EB03B5" w:rsidP="00865325">
      <w:pPr>
        <w:numPr>
          <w:ilvl w:val="0"/>
          <w:numId w:val="5"/>
        </w:numPr>
        <w:spacing w:after="80" w:line="276" w:lineRule="auto"/>
        <w:contextualSpacing/>
        <w:jc w:val="both"/>
        <w:rPr>
          <w:rFonts w:cs="Arial"/>
          <w:lang w:val="en-US"/>
        </w:rPr>
      </w:pPr>
      <w:r w:rsidRPr="00205DFE">
        <w:rPr>
          <w:rStyle w:val="Emphaseintense"/>
          <w:color w:val="17365D" w:themeColor="text2" w:themeShade="BF"/>
          <w:lang w:val="en-US"/>
        </w:rPr>
        <w:t>Replicability</w:t>
      </w:r>
      <w:r w:rsidRPr="00514C91">
        <w:rPr>
          <w:rFonts w:cs="Arial"/>
          <w:bCs/>
          <w:lang w:val="en-US"/>
        </w:rPr>
        <w:t>: adaptable</w:t>
      </w:r>
      <w:r w:rsidRPr="00514C91">
        <w:rPr>
          <w:rFonts w:cs="Arial"/>
          <w:lang w:val="en-US"/>
        </w:rPr>
        <w:t xml:space="preserve"> or scalable in another context.</w:t>
      </w:r>
    </w:p>
    <w:p w:rsidR="00EB03B5" w:rsidRPr="00514C91" w:rsidRDefault="00EB03B5" w:rsidP="00865325">
      <w:pPr>
        <w:numPr>
          <w:ilvl w:val="0"/>
          <w:numId w:val="5"/>
        </w:numPr>
        <w:spacing w:after="80" w:line="276" w:lineRule="auto"/>
        <w:contextualSpacing/>
        <w:jc w:val="both"/>
        <w:rPr>
          <w:rFonts w:cs="Arial"/>
          <w:lang w:val="en-US"/>
        </w:rPr>
      </w:pPr>
      <w:r w:rsidRPr="00205DFE">
        <w:rPr>
          <w:rStyle w:val="Emphaseintense"/>
          <w:color w:val="17365D" w:themeColor="text2" w:themeShade="BF"/>
          <w:lang w:val="en-US"/>
        </w:rPr>
        <w:t>Sustainability</w:t>
      </w:r>
      <w:r w:rsidRPr="00514C91">
        <w:rPr>
          <w:rFonts w:cs="Arial"/>
          <w:bCs/>
          <w:lang w:val="en-US"/>
        </w:rPr>
        <w:t xml:space="preserve">: </w:t>
      </w:r>
      <w:r w:rsidRPr="00514C91">
        <w:rPr>
          <w:rFonts w:cs="Arial"/>
          <w:lang w:val="en-US"/>
        </w:rPr>
        <w:t>potential for local actors to develop or sustain this action in the future.</w:t>
      </w:r>
    </w:p>
    <w:p w:rsidR="00EB03B5" w:rsidRPr="00EB03B5" w:rsidRDefault="00EB03B5" w:rsidP="00865325">
      <w:pPr>
        <w:pStyle w:val="ColorfulList-Accent11"/>
        <w:numPr>
          <w:ilvl w:val="0"/>
          <w:numId w:val="5"/>
        </w:numPr>
        <w:spacing w:before="0" w:after="80" w:line="276" w:lineRule="auto"/>
        <w:rPr>
          <w:rFonts w:asciiTheme="minorHAnsi" w:hAnsiTheme="minorHAnsi" w:cs="Arial"/>
          <w:sz w:val="22"/>
          <w:szCs w:val="22"/>
          <w:lang w:val="en-US"/>
        </w:rPr>
      </w:pPr>
      <w:r w:rsidRPr="00205DFE">
        <w:rPr>
          <w:rStyle w:val="Emphaseintense"/>
          <w:rFonts w:asciiTheme="minorHAnsi" w:hAnsiTheme="minorHAnsi"/>
          <w:color w:val="17365D" w:themeColor="text2" w:themeShade="BF"/>
          <w:sz w:val="22"/>
          <w:szCs w:val="22"/>
          <w:lang w:val="en-US"/>
        </w:rPr>
        <w:lastRenderedPageBreak/>
        <w:t>Efficiency</w:t>
      </w:r>
      <w:r w:rsidRPr="00EB03B5">
        <w:rPr>
          <w:rFonts w:asciiTheme="minorHAnsi" w:hAnsiTheme="minorHAnsi" w:cs="Arial"/>
          <w:bCs/>
          <w:sz w:val="22"/>
          <w:szCs w:val="22"/>
          <w:lang w:val="en-US"/>
        </w:rPr>
        <w:t>:</w:t>
      </w:r>
      <w:r w:rsidRPr="00EB03B5">
        <w:rPr>
          <w:rFonts w:asciiTheme="minorHAnsi" w:hAnsiTheme="minorHAnsi" w:cs="Arial"/>
          <w:sz w:val="22"/>
          <w:szCs w:val="22"/>
          <w:lang w:val="en-US"/>
        </w:rPr>
        <w:t xml:space="preserve"> in terms of time, finances, and human resources.</w:t>
      </w:r>
    </w:p>
    <w:p w:rsidR="00EB03B5" w:rsidRPr="00514C91" w:rsidRDefault="00EB03B5" w:rsidP="00865325">
      <w:pPr>
        <w:numPr>
          <w:ilvl w:val="0"/>
          <w:numId w:val="5"/>
        </w:numPr>
        <w:spacing w:after="80" w:line="276" w:lineRule="auto"/>
        <w:contextualSpacing/>
        <w:jc w:val="both"/>
        <w:rPr>
          <w:rFonts w:cs="Arial"/>
          <w:lang w:val="en-US"/>
        </w:rPr>
      </w:pPr>
      <w:r w:rsidRPr="00205DFE">
        <w:rPr>
          <w:rStyle w:val="Emphaseintense"/>
          <w:color w:val="17365D" w:themeColor="text2" w:themeShade="BF"/>
          <w:lang w:val="en-US"/>
        </w:rPr>
        <w:t xml:space="preserve">Person </w:t>
      </w:r>
      <w:proofErr w:type="spellStart"/>
      <w:r w:rsidRPr="00205DFE">
        <w:rPr>
          <w:rStyle w:val="Emphaseintense"/>
          <w:color w:val="17365D" w:themeColor="text2" w:themeShade="BF"/>
          <w:lang w:val="en-US"/>
        </w:rPr>
        <w:t>centred</w:t>
      </w:r>
      <w:proofErr w:type="spellEnd"/>
      <w:r w:rsidRPr="00514C91">
        <w:rPr>
          <w:rFonts w:cs="Arial"/>
          <w:bCs/>
          <w:lang w:val="en-US"/>
        </w:rPr>
        <w:t>:</w:t>
      </w:r>
      <w:r w:rsidRPr="00514C91">
        <w:rPr>
          <w:rFonts w:cs="Arial"/>
          <w:lang w:val="en-US"/>
        </w:rPr>
        <w:t xml:space="preserve"> active involvement of individual users in any decisions which concern them.</w:t>
      </w:r>
    </w:p>
    <w:p w:rsidR="00EB03B5" w:rsidRPr="003E4A1A" w:rsidRDefault="00EB03B5" w:rsidP="00865325">
      <w:pPr>
        <w:numPr>
          <w:ilvl w:val="0"/>
          <w:numId w:val="5"/>
        </w:numPr>
        <w:spacing w:after="80" w:line="276" w:lineRule="auto"/>
        <w:contextualSpacing/>
        <w:jc w:val="both"/>
        <w:rPr>
          <w:rStyle w:val="Emphaseintense"/>
          <w:rFonts w:cs="Arial"/>
          <w:b w:val="0"/>
          <w:bCs w:val="0"/>
          <w:i w:val="0"/>
          <w:iCs w:val="0"/>
          <w:color w:val="auto"/>
          <w:lang w:val="en-US"/>
        </w:rPr>
      </w:pPr>
      <w:r w:rsidRPr="00514C91">
        <w:rPr>
          <w:rFonts w:cs="Arial"/>
          <w:bCs/>
          <w:lang w:val="en-US"/>
        </w:rPr>
        <w:t xml:space="preserve">Conforming to the general principles of the </w:t>
      </w:r>
      <w:r w:rsidRPr="00205DFE">
        <w:rPr>
          <w:rStyle w:val="Emphaseintense"/>
          <w:color w:val="17365D" w:themeColor="text2" w:themeShade="BF"/>
          <w:lang w:val="en-US"/>
        </w:rPr>
        <w:t>CRPD</w:t>
      </w:r>
      <w:r w:rsidR="003E4A1A">
        <w:rPr>
          <w:rStyle w:val="Emphaseintense"/>
          <w:color w:val="17365D" w:themeColor="text2" w:themeShade="BF"/>
          <w:lang w:val="en-US"/>
        </w:rPr>
        <w:t>, which are</w:t>
      </w:r>
      <w:r w:rsidR="00FE776D">
        <w:rPr>
          <w:rStyle w:val="Emphaseintense"/>
          <w:color w:val="17365D" w:themeColor="text2" w:themeShade="BF"/>
          <w:lang w:val="en-US"/>
        </w:rPr>
        <w:t xml:space="preserve"> (art.3, CRPD)</w:t>
      </w:r>
      <w:r w:rsidR="003E4A1A">
        <w:rPr>
          <w:rStyle w:val="Emphaseintense"/>
          <w:color w:val="17365D" w:themeColor="text2" w:themeShade="BF"/>
          <w:lang w:val="en-US"/>
        </w:rPr>
        <w:t>:</w:t>
      </w:r>
    </w:p>
    <w:p w:rsidR="002C2237" w:rsidRDefault="00FE776D" w:rsidP="00FE776D">
      <w:pPr>
        <w:pStyle w:val="ColorfulList-Accent11"/>
        <w:numPr>
          <w:ilvl w:val="0"/>
          <w:numId w:val="14"/>
        </w:numPr>
        <w:autoSpaceDE w:val="0"/>
        <w:autoSpaceDN w:val="0"/>
        <w:adjustRightInd w:val="0"/>
        <w:spacing w:before="0" w:after="80"/>
        <w:rPr>
          <w:rFonts w:asciiTheme="minorHAnsi" w:hAnsiTheme="minorHAnsi" w:cs="Arial"/>
          <w:sz w:val="22"/>
          <w:szCs w:val="22"/>
          <w:lang w:val="en-GB"/>
        </w:rPr>
      </w:pPr>
      <w:r>
        <w:rPr>
          <w:rFonts w:asciiTheme="minorHAnsi" w:hAnsiTheme="minorHAnsi" w:cs="Arial"/>
          <w:sz w:val="22"/>
          <w:szCs w:val="22"/>
          <w:lang w:val="en-GB"/>
        </w:rPr>
        <w:t>R</w:t>
      </w:r>
      <w:r w:rsidR="002C2237">
        <w:rPr>
          <w:rFonts w:asciiTheme="minorHAnsi" w:hAnsiTheme="minorHAnsi" w:cs="Arial"/>
          <w:sz w:val="22"/>
          <w:szCs w:val="22"/>
          <w:lang w:val="en-GB"/>
        </w:rPr>
        <w:t>espect for inherent dignity, individual autonomy including the freedom to make one's own choices, and independence of persons;</w:t>
      </w:r>
    </w:p>
    <w:p w:rsidR="002C2237" w:rsidRDefault="002C2237" w:rsidP="00FE776D">
      <w:pPr>
        <w:pStyle w:val="ColorfulList-Accent11"/>
        <w:numPr>
          <w:ilvl w:val="0"/>
          <w:numId w:val="14"/>
        </w:numPr>
        <w:autoSpaceDE w:val="0"/>
        <w:autoSpaceDN w:val="0"/>
        <w:adjustRightInd w:val="0"/>
        <w:spacing w:before="0" w:after="80"/>
        <w:rPr>
          <w:rFonts w:asciiTheme="minorHAnsi" w:hAnsiTheme="minorHAnsi" w:cs="Arial"/>
          <w:sz w:val="22"/>
          <w:szCs w:val="22"/>
          <w:lang w:val="en-GB"/>
        </w:rPr>
      </w:pPr>
      <w:r>
        <w:rPr>
          <w:rFonts w:asciiTheme="minorHAnsi" w:hAnsiTheme="minorHAnsi" w:cs="Arial"/>
          <w:sz w:val="22"/>
          <w:szCs w:val="22"/>
          <w:lang w:val="en-GB"/>
        </w:rPr>
        <w:t>Non-discrimination;</w:t>
      </w:r>
    </w:p>
    <w:p w:rsidR="002C2237" w:rsidRDefault="002C2237" w:rsidP="00FE776D">
      <w:pPr>
        <w:pStyle w:val="ColorfulList-Accent11"/>
        <w:numPr>
          <w:ilvl w:val="0"/>
          <w:numId w:val="14"/>
        </w:numPr>
        <w:autoSpaceDE w:val="0"/>
        <w:autoSpaceDN w:val="0"/>
        <w:adjustRightInd w:val="0"/>
        <w:spacing w:before="0" w:after="80"/>
        <w:rPr>
          <w:rFonts w:asciiTheme="minorHAnsi" w:hAnsiTheme="minorHAnsi" w:cs="Arial"/>
          <w:sz w:val="22"/>
          <w:szCs w:val="22"/>
          <w:lang w:val="en-GB"/>
        </w:rPr>
      </w:pPr>
      <w:r>
        <w:rPr>
          <w:rFonts w:asciiTheme="minorHAnsi" w:hAnsiTheme="minorHAnsi" w:cs="Arial"/>
          <w:sz w:val="22"/>
          <w:szCs w:val="22"/>
          <w:lang w:val="en-GB"/>
        </w:rPr>
        <w:t>Full and effective participation and inclusion in society;</w:t>
      </w:r>
    </w:p>
    <w:p w:rsidR="002C2237" w:rsidRDefault="002C2237" w:rsidP="00FE776D">
      <w:pPr>
        <w:pStyle w:val="ColorfulList-Accent11"/>
        <w:numPr>
          <w:ilvl w:val="0"/>
          <w:numId w:val="14"/>
        </w:numPr>
        <w:autoSpaceDE w:val="0"/>
        <w:autoSpaceDN w:val="0"/>
        <w:adjustRightInd w:val="0"/>
        <w:spacing w:before="0" w:after="80"/>
        <w:rPr>
          <w:rFonts w:asciiTheme="minorHAnsi" w:hAnsiTheme="minorHAnsi" w:cs="Arial"/>
          <w:sz w:val="22"/>
          <w:szCs w:val="22"/>
          <w:lang w:val="en-GB"/>
        </w:rPr>
      </w:pPr>
      <w:r>
        <w:rPr>
          <w:rFonts w:asciiTheme="minorHAnsi" w:hAnsiTheme="minorHAnsi" w:cs="Arial"/>
          <w:sz w:val="22"/>
          <w:szCs w:val="22"/>
          <w:lang w:val="en-GB"/>
        </w:rPr>
        <w:t>Respect for difference and acceptance of persons with disabilities as part of human diversity and humanity;</w:t>
      </w:r>
    </w:p>
    <w:p w:rsidR="002C2237" w:rsidRDefault="002C2237" w:rsidP="00FE776D">
      <w:pPr>
        <w:pStyle w:val="ColorfulList-Accent11"/>
        <w:numPr>
          <w:ilvl w:val="0"/>
          <w:numId w:val="14"/>
        </w:numPr>
        <w:autoSpaceDE w:val="0"/>
        <w:autoSpaceDN w:val="0"/>
        <w:adjustRightInd w:val="0"/>
        <w:spacing w:before="0" w:after="80"/>
        <w:rPr>
          <w:rFonts w:asciiTheme="minorHAnsi" w:hAnsiTheme="minorHAnsi" w:cs="Arial"/>
          <w:sz w:val="22"/>
          <w:szCs w:val="22"/>
          <w:lang w:val="en-GB"/>
        </w:rPr>
      </w:pPr>
      <w:r>
        <w:rPr>
          <w:rFonts w:asciiTheme="minorHAnsi" w:hAnsiTheme="minorHAnsi" w:cs="Arial"/>
          <w:sz w:val="22"/>
          <w:szCs w:val="22"/>
          <w:lang w:val="en-GB"/>
        </w:rPr>
        <w:t>Equality of opportunity;</w:t>
      </w:r>
    </w:p>
    <w:p w:rsidR="002C2237" w:rsidRDefault="002C2237" w:rsidP="00FE776D">
      <w:pPr>
        <w:pStyle w:val="ColorfulList-Accent11"/>
        <w:numPr>
          <w:ilvl w:val="0"/>
          <w:numId w:val="14"/>
        </w:numPr>
        <w:autoSpaceDE w:val="0"/>
        <w:autoSpaceDN w:val="0"/>
        <w:adjustRightInd w:val="0"/>
        <w:spacing w:before="0" w:after="80"/>
        <w:rPr>
          <w:rFonts w:asciiTheme="minorHAnsi" w:hAnsiTheme="minorHAnsi" w:cs="Arial"/>
          <w:sz w:val="22"/>
          <w:szCs w:val="22"/>
          <w:lang w:val="en-GB"/>
        </w:rPr>
      </w:pPr>
      <w:r>
        <w:rPr>
          <w:rFonts w:asciiTheme="minorHAnsi" w:hAnsiTheme="minorHAnsi" w:cs="Arial"/>
          <w:sz w:val="22"/>
          <w:szCs w:val="22"/>
          <w:lang w:val="en-GB"/>
        </w:rPr>
        <w:t>Accessibility;</w:t>
      </w:r>
    </w:p>
    <w:p w:rsidR="002C2237" w:rsidRDefault="002C2237" w:rsidP="00FE776D">
      <w:pPr>
        <w:pStyle w:val="ColorfulList-Accent11"/>
        <w:numPr>
          <w:ilvl w:val="0"/>
          <w:numId w:val="14"/>
        </w:numPr>
        <w:autoSpaceDE w:val="0"/>
        <w:autoSpaceDN w:val="0"/>
        <w:adjustRightInd w:val="0"/>
        <w:spacing w:after="80"/>
        <w:rPr>
          <w:rFonts w:asciiTheme="minorHAnsi" w:hAnsiTheme="minorHAnsi" w:cs="Arial"/>
          <w:sz w:val="22"/>
          <w:szCs w:val="22"/>
          <w:lang w:val="en-GB"/>
        </w:rPr>
      </w:pPr>
      <w:r>
        <w:rPr>
          <w:rFonts w:asciiTheme="minorHAnsi" w:hAnsiTheme="minorHAnsi" w:cs="Arial"/>
          <w:sz w:val="22"/>
          <w:szCs w:val="22"/>
          <w:lang w:val="en-GB"/>
        </w:rPr>
        <w:t>Equality between men and women;</w:t>
      </w:r>
    </w:p>
    <w:p w:rsidR="002C2237" w:rsidRDefault="002C2237" w:rsidP="00FE776D">
      <w:pPr>
        <w:pStyle w:val="ColorfulList-Accent11"/>
        <w:numPr>
          <w:ilvl w:val="0"/>
          <w:numId w:val="14"/>
        </w:numPr>
        <w:autoSpaceDE w:val="0"/>
        <w:autoSpaceDN w:val="0"/>
        <w:adjustRightInd w:val="0"/>
        <w:spacing w:before="0" w:after="80"/>
        <w:rPr>
          <w:rFonts w:asciiTheme="minorHAnsi" w:hAnsiTheme="minorHAnsi" w:cs="Arial"/>
          <w:sz w:val="22"/>
          <w:szCs w:val="22"/>
          <w:lang w:val="en-GB"/>
        </w:rPr>
      </w:pPr>
      <w:r>
        <w:rPr>
          <w:rFonts w:asciiTheme="minorHAnsi" w:hAnsiTheme="minorHAnsi" w:cs="Arial"/>
          <w:sz w:val="22"/>
          <w:szCs w:val="22"/>
          <w:lang w:val="en-GB"/>
        </w:rPr>
        <w:t>Respect for the evolving capacities of children with disabilities and respect for the right of children with disabilities to preserve their identities.</w:t>
      </w:r>
    </w:p>
    <w:p w:rsidR="003E4A1A" w:rsidRPr="00205DFE" w:rsidRDefault="003E4A1A" w:rsidP="002C2237">
      <w:pPr>
        <w:spacing w:after="80" w:line="276" w:lineRule="auto"/>
        <w:ind w:left="720"/>
        <w:contextualSpacing/>
        <w:jc w:val="both"/>
        <w:rPr>
          <w:rFonts w:cs="Arial"/>
          <w:lang w:val="en-US"/>
        </w:rPr>
      </w:pPr>
    </w:p>
    <w:p w:rsidR="00A55C4F" w:rsidRPr="00514C91" w:rsidRDefault="00A55C4F" w:rsidP="00205DFE">
      <w:pPr>
        <w:spacing w:after="80" w:line="276" w:lineRule="auto"/>
        <w:ind w:left="720"/>
        <w:contextualSpacing/>
        <w:jc w:val="both"/>
        <w:rPr>
          <w:rFonts w:cs="Arial"/>
          <w:lang w:val="en-US"/>
        </w:rPr>
      </w:pPr>
    </w:p>
    <w:p w:rsidR="00B80BE8" w:rsidRPr="00205DFE" w:rsidRDefault="00205DFE" w:rsidP="00205DFE">
      <w:pPr>
        <w:shd w:val="clear" w:color="auto" w:fill="17365D" w:themeFill="text2" w:themeFillShade="BF"/>
        <w:autoSpaceDE w:val="0"/>
        <w:autoSpaceDN w:val="0"/>
        <w:adjustRightInd w:val="0"/>
        <w:spacing w:after="80" w:line="276" w:lineRule="auto"/>
        <w:contextualSpacing/>
        <w:jc w:val="both"/>
        <w:rPr>
          <w:rFonts w:cs="Arial"/>
          <w:b/>
          <w:bCs/>
          <w:color w:val="FFFFFF" w:themeColor="background1"/>
          <w:sz w:val="24"/>
        </w:rPr>
      </w:pPr>
      <w:r>
        <w:rPr>
          <w:rFonts w:cs="Arial"/>
          <w:b/>
          <w:bCs/>
          <w:color w:val="FFFFFF" w:themeColor="background1"/>
          <w:sz w:val="24"/>
        </w:rPr>
        <w:t xml:space="preserve"> </w:t>
      </w:r>
      <w:r w:rsidR="00B80BE8" w:rsidRPr="00205DFE">
        <w:rPr>
          <w:rFonts w:cs="Arial"/>
          <w:b/>
          <w:bCs/>
          <w:color w:val="FFFFFF" w:themeColor="background1"/>
          <w:sz w:val="24"/>
        </w:rPr>
        <w:t xml:space="preserve">What is the added value of </w:t>
      </w:r>
      <w:proofErr w:type="gramStart"/>
      <w:r w:rsidR="00B80BE8" w:rsidRPr="00205DFE">
        <w:rPr>
          <w:rFonts w:cs="Arial"/>
          <w:b/>
          <w:bCs/>
          <w:color w:val="FFFFFF" w:themeColor="background1"/>
          <w:sz w:val="24"/>
        </w:rPr>
        <w:t>Making</w:t>
      </w:r>
      <w:proofErr w:type="gramEnd"/>
      <w:r w:rsidR="00B80BE8" w:rsidRPr="00205DFE">
        <w:rPr>
          <w:rFonts w:cs="Arial"/>
          <w:b/>
          <w:bCs/>
          <w:color w:val="FFFFFF" w:themeColor="background1"/>
          <w:sz w:val="24"/>
        </w:rPr>
        <w:t xml:space="preserve"> it Work?</w:t>
      </w:r>
    </w:p>
    <w:p w:rsidR="00205DFE" w:rsidRDefault="00205DFE" w:rsidP="00205DFE">
      <w:pPr>
        <w:autoSpaceDE w:val="0"/>
        <w:autoSpaceDN w:val="0"/>
        <w:adjustRightInd w:val="0"/>
        <w:spacing w:after="80" w:line="276" w:lineRule="auto"/>
        <w:contextualSpacing/>
        <w:jc w:val="both"/>
        <w:rPr>
          <w:rFonts w:eastAsia="Calibri" w:cs="Arial"/>
          <w:sz w:val="24"/>
        </w:rPr>
      </w:pPr>
    </w:p>
    <w:p w:rsidR="00EB03B5" w:rsidRPr="00205DFE" w:rsidRDefault="00EB03B5" w:rsidP="00205DFE">
      <w:pPr>
        <w:autoSpaceDE w:val="0"/>
        <w:autoSpaceDN w:val="0"/>
        <w:adjustRightInd w:val="0"/>
        <w:spacing w:after="80" w:line="276" w:lineRule="auto"/>
        <w:contextualSpacing/>
        <w:jc w:val="both"/>
        <w:rPr>
          <w:rFonts w:eastAsia="Calibri" w:cs="Arial"/>
          <w:sz w:val="24"/>
        </w:rPr>
      </w:pPr>
      <w:r w:rsidRPr="00205DFE">
        <w:rPr>
          <w:rFonts w:eastAsia="Calibri" w:cs="Arial"/>
          <w:sz w:val="24"/>
        </w:rPr>
        <w:t>The Making it Work methodology can be used for various purposes:</w:t>
      </w:r>
    </w:p>
    <w:p w:rsidR="00EB03B5" w:rsidRPr="00514C91" w:rsidRDefault="00EB03B5" w:rsidP="00205DFE">
      <w:pPr>
        <w:pStyle w:val="Paragraphedeliste"/>
        <w:numPr>
          <w:ilvl w:val="0"/>
          <w:numId w:val="10"/>
        </w:numPr>
        <w:spacing w:after="80"/>
        <w:jc w:val="both"/>
        <w:rPr>
          <w:rFonts w:cs="Arial"/>
          <w:lang w:val="en-US"/>
        </w:rPr>
      </w:pPr>
      <w:r w:rsidRPr="00205DFE">
        <w:rPr>
          <w:rStyle w:val="Emphaseintense"/>
          <w:color w:val="17365D" w:themeColor="text2" w:themeShade="BF"/>
          <w:lang w:val="en-US"/>
        </w:rPr>
        <w:t>Learning</w:t>
      </w:r>
      <w:r w:rsidRPr="00514C91">
        <w:rPr>
          <w:rFonts w:cs="Arial"/>
          <w:lang w:val="en-US"/>
        </w:rPr>
        <w:t xml:space="preserve">: MIW builds on </w:t>
      </w:r>
      <w:r w:rsidRPr="00514C91">
        <w:rPr>
          <w:rFonts w:cs="Arial"/>
          <w:iCs/>
          <w:lang w:val="en-US"/>
        </w:rPr>
        <w:t xml:space="preserve">existing </w:t>
      </w:r>
      <w:r w:rsidRPr="00514C91">
        <w:rPr>
          <w:rFonts w:cs="Arial"/>
          <w:lang w:val="en-US"/>
        </w:rPr>
        <w:t xml:space="preserve">knowledge, and develops </w:t>
      </w:r>
      <w:r w:rsidRPr="00514C91">
        <w:rPr>
          <w:rFonts w:cs="Arial"/>
          <w:iCs/>
          <w:lang w:val="en-US"/>
        </w:rPr>
        <w:t>new</w:t>
      </w:r>
      <w:r w:rsidRPr="00514C91">
        <w:rPr>
          <w:rFonts w:cs="Arial"/>
          <w:lang w:val="en-US"/>
        </w:rPr>
        <w:t xml:space="preserve"> knowledge and technical expertise, through sharing experiences across communities, countries and regions. This methodology is an opportunity to learn from experts in disability specific and other development sectors. It aims to bring greater visibility for disability issues by involving stakeholders from all sectors. </w:t>
      </w:r>
    </w:p>
    <w:p w:rsidR="00EB03B5" w:rsidRPr="00514C91" w:rsidRDefault="00EB03B5" w:rsidP="00205DFE">
      <w:pPr>
        <w:pStyle w:val="Paragraphedeliste"/>
        <w:numPr>
          <w:ilvl w:val="0"/>
          <w:numId w:val="10"/>
        </w:numPr>
        <w:autoSpaceDE w:val="0"/>
        <w:autoSpaceDN w:val="0"/>
        <w:adjustRightInd w:val="0"/>
        <w:spacing w:after="80"/>
        <w:jc w:val="both"/>
        <w:rPr>
          <w:rFonts w:cs="Arial"/>
          <w:lang w:val="en-US"/>
        </w:rPr>
      </w:pPr>
      <w:r w:rsidRPr="00205DFE">
        <w:rPr>
          <w:rStyle w:val="Emphaseintense"/>
          <w:color w:val="17365D" w:themeColor="text2" w:themeShade="BF"/>
          <w:lang w:val="en-US"/>
        </w:rPr>
        <w:t>Collaborating</w:t>
      </w:r>
      <w:r w:rsidRPr="00514C91">
        <w:rPr>
          <w:rFonts w:cs="Arial"/>
          <w:lang w:val="en-US"/>
        </w:rPr>
        <w:t>: MIW requires multi-stakeholder actions, whereby several organisations work together to define, select and validate good practices and then use this knowledge for collective, evidence-based action for change (most commonly advocacy). Different stakeholders include, but are not limited to: DPOs, service providers, government authorities, civil society organisations, development organisations, human rights entities and universities. The</w:t>
      </w:r>
      <w:r w:rsidRPr="00514C91">
        <w:rPr>
          <w:rFonts w:cs="Arial"/>
          <w:color w:val="000000"/>
          <w:lang w:val="en-US"/>
        </w:rPr>
        <w:t xml:space="preserve"> MIW online </w:t>
      </w:r>
      <w:r w:rsidRPr="00514C91">
        <w:rPr>
          <w:rFonts w:cs="Arial"/>
          <w:bCs/>
          <w:iCs/>
          <w:lang w:val="en-US"/>
        </w:rPr>
        <w:t xml:space="preserve">Good Practice Database also </w:t>
      </w:r>
      <w:r w:rsidRPr="00514C91">
        <w:rPr>
          <w:rFonts w:cs="Arial"/>
          <w:lang w:val="en-US"/>
        </w:rPr>
        <w:t>provides</w:t>
      </w:r>
      <w:r w:rsidRPr="00514C91">
        <w:rPr>
          <w:rFonts w:cs="Arial"/>
          <w:color w:val="000000"/>
          <w:lang w:val="en-US"/>
        </w:rPr>
        <w:t xml:space="preserve"> a global platform for sharing solutions regarding disability-inclusive development. </w:t>
      </w:r>
    </w:p>
    <w:p w:rsidR="00EB03B5" w:rsidRPr="00514C91" w:rsidRDefault="00EB03B5" w:rsidP="00205DFE">
      <w:pPr>
        <w:pStyle w:val="Paragraphedeliste"/>
        <w:numPr>
          <w:ilvl w:val="0"/>
          <w:numId w:val="10"/>
        </w:numPr>
        <w:autoSpaceDE w:val="0"/>
        <w:autoSpaceDN w:val="0"/>
        <w:adjustRightInd w:val="0"/>
        <w:spacing w:after="80"/>
        <w:jc w:val="both"/>
        <w:rPr>
          <w:rFonts w:cs="Arial"/>
          <w:lang w:val="en-US"/>
        </w:rPr>
      </w:pPr>
      <w:r w:rsidRPr="00205DFE">
        <w:rPr>
          <w:rStyle w:val="Emphaseintense"/>
          <w:color w:val="17365D" w:themeColor="text2" w:themeShade="BF"/>
          <w:lang w:val="en-US"/>
        </w:rPr>
        <w:t>Empowering</w:t>
      </w:r>
      <w:r w:rsidRPr="00514C91">
        <w:rPr>
          <w:rFonts w:cs="Arial"/>
          <w:lang w:val="en-US"/>
        </w:rPr>
        <w:t>: MIW gives a voice to people with disabilities and their representative organisations. By deciding what has worked well and how they think it could be replicated or scaled-up, these key actors have</w:t>
      </w:r>
      <w:r w:rsidR="00865325">
        <w:rPr>
          <w:rFonts w:cs="Arial"/>
          <w:bCs/>
          <w:lang w:val="en-US"/>
        </w:rPr>
        <w:t xml:space="preserve"> the opportunity to analyz</w:t>
      </w:r>
      <w:r w:rsidRPr="00514C91">
        <w:rPr>
          <w:rFonts w:cs="Arial"/>
          <w:bCs/>
          <w:lang w:val="en-US"/>
        </w:rPr>
        <w:t>e development practices and formulate evidence-based claims or recommendations to promote their rights.</w:t>
      </w:r>
    </w:p>
    <w:p w:rsidR="009229F9" w:rsidRDefault="00EB03B5" w:rsidP="00205DFE">
      <w:pPr>
        <w:pStyle w:val="Paragraphedeliste"/>
        <w:numPr>
          <w:ilvl w:val="0"/>
          <w:numId w:val="10"/>
        </w:numPr>
        <w:autoSpaceDE w:val="0"/>
        <w:autoSpaceDN w:val="0"/>
        <w:adjustRightInd w:val="0"/>
        <w:spacing w:after="80"/>
        <w:jc w:val="both"/>
        <w:rPr>
          <w:rFonts w:cs="Arial"/>
          <w:lang w:val="en-US"/>
        </w:rPr>
      </w:pPr>
      <w:r w:rsidRPr="00205DFE">
        <w:rPr>
          <w:rStyle w:val="Emphaseintense"/>
          <w:color w:val="17365D" w:themeColor="text2" w:themeShade="BF"/>
          <w:lang w:val="en-US"/>
        </w:rPr>
        <w:t>Advocating and acting for change</w:t>
      </w:r>
      <w:r w:rsidRPr="00514C91">
        <w:rPr>
          <w:rFonts w:cs="Arial"/>
          <w:lang w:val="en-US"/>
        </w:rPr>
        <w:t>: MIW can be used to influence change through advocacy or a wider range of actions, such as lobbying, awareness-raising, technical training, or mentoring. The good practices collected can be used as evidence, credibility and qualitative information on the changes expected.</w:t>
      </w:r>
    </w:p>
    <w:p w:rsidR="009229F9" w:rsidRDefault="009229F9">
      <w:pPr>
        <w:spacing w:after="200" w:line="276" w:lineRule="auto"/>
        <w:rPr>
          <w:rFonts w:eastAsiaTheme="minorHAnsi" w:cs="Arial"/>
          <w:szCs w:val="22"/>
          <w:lang w:val="en-US" w:eastAsia="en-US"/>
        </w:rPr>
      </w:pPr>
      <w:r>
        <w:rPr>
          <w:rFonts w:cs="Arial"/>
          <w:lang w:val="en-US"/>
        </w:rPr>
        <w:br w:type="page"/>
      </w:r>
    </w:p>
    <w:p w:rsidR="009229F9" w:rsidRDefault="00383FF5" w:rsidP="004F2C40">
      <w:pPr>
        <w:pBdr>
          <w:top w:val="single" w:sz="4" w:space="1" w:color="auto"/>
          <w:left w:val="single" w:sz="4" w:space="4" w:color="auto"/>
          <w:bottom w:val="single" w:sz="4" w:space="1" w:color="auto"/>
          <w:right w:val="single" w:sz="4" w:space="4" w:color="auto"/>
        </w:pBdr>
        <w:spacing w:after="80"/>
        <w:jc w:val="center"/>
        <w:rPr>
          <w:rFonts w:cs="Arial"/>
          <w:b/>
          <w:bCs/>
          <w:szCs w:val="22"/>
        </w:rPr>
      </w:pPr>
      <w:r>
        <w:rPr>
          <w:rFonts w:cs="Arial"/>
          <w:b/>
          <w:bCs/>
          <w:szCs w:val="22"/>
        </w:rPr>
        <w:lastRenderedPageBreak/>
        <w:t>Example 1: Regional project</w:t>
      </w:r>
      <w:r w:rsidR="009229F9">
        <w:rPr>
          <w:rFonts w:cs="Arial"/>
          <w:b/>
          <w:bCs/>
          <w:szCs w:val="22"/>
        </w:rPr>
        <w:t xml:space="preserve"> on inclusive local governance in West Africa</w:t>
      </w:r>
    </w:p>
    <w:p w:rsidR="009229F9" w:rsidRDefault="009229F9" w:rsidP="009229F9">
      <w:pPr>
        <w:spacing w:after="80"/>
        <w:jc w:val="both"/>
        <w:rPr>
          <w:rFonts w:cs="Arial"/>
          <w:bCs/>
          <w:szCs w:val="22"/>
        </w:rPr>
      </w:pPr>
      <w:r>
        <w:rPr>
          <w:rFonts w:cs="Arial"/>
          <w:bCs/>
          <w:szCs w:val="22"/>
        </w:rPr>
        <w:t>“Rights in A</w:t>
      </w:r>
      <w:r w:rsidR="00383FF5">
        <w:rPr>
          <w:rFonts w:cs="Arial"/>
          <w:bCs/>
          <w:szCs w:val="22"/>
        </w:rPr>
        <w:t>ction” was a regional project</w:t>
      </w:r>
      <w:r>
        <w:rPr>
          <w:rFonts w:cs="Arial"/>
          <w:bCs/>
          <w:szCs w:val="22"/>
        </w:rPr>
        <w:t xml:space="preserve"> to document and disseminate good practices on people with disabilities and their representative organisations actively participating in local governance in West Africa. With a focus on Articl</w:t>
      </w:r>
      <w:r w:rsidR="00383FF5">
        <w:rPr>
          <w:rFonts w:cs="Arial"/>
          <w:bCs/>
          <w:szCs w:val="22"/>
        </w:rPr>
        <w:t>e 29 of the CRPD, the project</w:t>
      </w:r>
      <w:r>
        <w:rPr>
          <w:rFonts w:cs="Arial"/>
          <w:bCs/>
          <w:szCs w:val="22"/>
        </w:rPr>
        <w:t xml:space="preserve"> was carried out on a regional level in which 26 good practices were collected in Benin, Burkina Faso, Mali, Niger, Senegal, Sierra Leone and Togo. </w:t>
      </w:r>
    </w:p>
    <w:p w:rsidR="009229F9" w:rsidRDefault="009229F9" w:rsidP="009229F9">
      <w:pPr>
        <w:spacing w:after="80"/>
        <w:jc w:val="both"/>
        <w:rPr>
          <w:rFonts w:cs="Arial"/>
          <w:bCs/>
          <w:szCs w:val="22"/>
        </w:rPr>
      </w:pPr>
      <w:r>
        <w:rPr>
          <w:rFonts w:cs="Arial"/>
          <w:bCs/>
          <w:szCs w:val="22"/>
        </w:rPr>
        <w:br/>
      </w:r>
      <w:proofErr w:type="gramStart"/>
      <w:r>
        <w:rPr>
          <w:rFonts w:cs="Arial"/>
          <w:bCs/>
          <w:szCs w:val="22"/>
        </w:rPr>
        <w:t>Rights in Action was</w:t>
      </w:r>
      <w:proofErr w:type="gramEnd"/>
      <w:r>
        <w:rPr>
          <w:rFonts w:cs="Arial"/>
          <w:bCs/>
          <w:szCs w:val="22"/>
        </w:rPr>
        <w:t xml:space="preserve"> carried out with a regional multi-stakeholder committee as well as national level steering committees that included DPOs, development, civil society and government actors.</w:t>
      </w:r>
      <w:r>
        <w:rPr>
          <w:rFonts w:cs="Arial"/>
          <w:bCs/>
          <w:szCs w:val="22"/>
        </w:rPr>
        <w:tab/>
      </w:r>
    </w:p>
    <w:p w:rsidR="009229F9" w:rsidRDefault="009229F9" w:rsidP="009229F9">
      <w:pPr>
        <w:spacing w:after="80"/>
        <w:jc w:val="both"/>
        <w:rPr>
          <w:rFonts w:cs="Arial"/>
          <w:bCs/>
          <w:szCs w:val="22"/>
        </w:rPr>
      </w:pPr>
      <w:r>
        <w:rPr>
          <w:rFonts w:cs="Arial"/>
          <w:bCs/>
          <w:szCs w:val="22"/>
        </w:rPr>
        <w:t xml:space="preserve">Outcomes from this initiative: </w:t>
      </w:r>
    </w:p>
    <w:p w:rsidR="009229F9" w:rsidRDefault="009229F9" w:rsidP="009229F9">
      <w:pPr>
        <w:numPr>
          <w:ilvl w:val="0"/>
          <w:numId w:val="11"/>
        </w:numPr>
        <w:spacing w:after="80"/>
        <w:jc w:val="both"/>
        <w:rPr>
          <w:rFonts w:cs="Arial"/>
          <w:bCs/>
          <w:szCs w:val="22"/>
        </w:rPr>
      </w:pPr>
      <w:r>
        <w:rPr>
          <w:rFonts w:cs="Arial"/>
          <w:b/>
          <w:szCs w:val="22"/>
        </w:rPr>
        <w:t>Local level:</w:t>
      </w:r>
      <w:r>
        <w:rPr>
          <w:rFonts w:cs="Arial"/>
          <w:bCs/>
          <w:szCs w:val="22"/>
        </w:rPr>
        <w:t xml:space="preserve"> replication of a good practice in a neighbouring village in Burkina Faso. </w:t>
      </w:r>
    </w:p>
    <w:p w:rsidR="009229F9" w:rsidRDefault="009229F9" w:rsidP="009229F9">
      <w:pPr>
        <w:numPr>
          <w:ilvl w:val="0"/>
          <w:numId w:val="11"/>
        </w:numPr>
        <w:spacing w:after="80"/>
        <w:jc w:val="both"/>
        <w:rPr>
          <w:rFonts w:cs="Arial"/>
          <w:bCs/>
          <w:szCs w:val="22"/>
        </w:rPr>
      </w:pPr>
      <w:r>
        <w:rPr>
          <w:rFonts w:cs="Arial"/>
          <w:b/>
          <w:szCs w:val="22"/>
        </w:rPr>
        <w:t>Regional level:</w:t>
      </w:r>
      <w:r>
        <w:rPr>
          <w:rFonts w:cs="Arial"/>
          <w:bCs/>
          <w:szCs w:val="22"/>
        </w:rPr>
        <w:t xml:space="preserve"> Strong representation and promotion of local inclusive governance during the </w:t>
      </w:r>
      <w:proofErr w:type="spellStart"/>
      <w:r>
        <w:rPr>
          <w:rFonts w:cs="Arial"/>
          <w:bCs/>
          <w:szCs w:val="22"/>
        </w:rPr>
        <w:t>Africities</w:t>
      </w:r>
      <w:proofErr w:type="spellEnd"/>
      <w:r>
        <w:rPr>
          <w:rFonts w:cs="Arial"/>
          <w:bCs/>
          <w:szCs w:val="22"/>
        </w:rPr>
        <w:t xml:space="preserve"> Summit held in Dakar, December 2012.</w:t>
      </w:r>
    </w:p>
    <w:p w:rsidR="009229F9" w:rsidRDefault="009229F9" w:rsidP="009229F9">
      <w:pPr>
        <w:numPr>
          <w:ilvl w:val="0"/>
          <w:numId w:val="11"/>
        </w:numPr>
        <w:spacing w:after="80"/>
        <w:jc w:val="both"/>
        <w:rPr>
          <w:rFonts w:cs="Arial"/>
          <w:bCs/>
          <w:szCs w:val="22"/>
        </w:rPr>
      </w:pPr>
      <w:r>
        <w:rPr>
          <w:rFonts w:cs="Arial"/>
          <w:b/>
          <w:szCs w:val="22"/>
        </w:rPr>
        <w:t>International level:</w:t>
      </w:r>
      <w:r>
        <w:rPr>
          <w:rFonts w:cs="Arial"/>
          <w:bCs/>
          <w:szCs w:val="22"/>
        </w:rPr>
        <w:t xml:space="preserve"> The president of the Malian Federation of Associations of Disabled People presented the good practices collected in Mali at the Conference of States Parties to the CRPD held in New York in September 2011 and recommendations from the good practices were also used to influence the Human Rights Committee resolution on article 29.</w:t>
      </w:r>
    </w:p>
    <w:p w:rsidR="004F2C40" w:rsidRDefault="004F2C40" w:rsidP="009229F9">
      <w:pPr>
        <w:spacing w:after="80"/>
        <w:jc w:val="both"/>
        <w:rPr>
          <w:rFonts w:cs="Arial"/>
          <w:b/>
          <w:bCs/>
          <w:szCs w:val="22"/>
        </w:rPr>
      </w:pPr>
    </w:p>
    <w:p w:rsidR="009229F9" w:rsidRDefault="00383FF5" w:rsidP="004F2C40">
      <w:pPr>
        <w:pBdr>
          <w:top w:val="single" w:sz="4" w:space="1" w:color="auto"/>
          <w:left w:val="single" w:sz="4" w:space="4" w:color="auto"/>
          <w:bottom w:val="single" w:sz="4" w:space="1" w:color="auto"/>
          <w:right w:val="single" w:sz="4" w:space="4" w:color="auto"/>
        </w:pBdr>
        <w:spacing w:after="80"/>
        <w:jc w:val="center"/>
        <w:rPr>
          <w:rFonts w:cs="Arial"/>
          <w:b/>
          <w:bCs/>
          <w:szCs w:val="22"/>
        </w:rPr>
      </w:pPr>
      <w:r>
        <w:rPr>
          <w:rFonts w:cs="Arial"/>
          <w:b/>
          <w:bCs/>
          <w:szCs w:val="22"/>
        </w:rPr>
        <w:t>Example 2: National project</w:t>
      </w:r>
      <w:r w:rsidR="009229F9">
        <w:rPr>
          <w:rFonts w:cs="Arial"/>
          <w:b/>
          <w:bCs/>
          <w:szCs w:val="22"/>
        </w:rPr>
        <w:t xml:space="preserve"> on promoting the right to work for people with disabilities in El Salvador</w:t>
      </w:r>
    </w:p>
    <w:p w:rsidR="009229F9" w:rsidRDefault="009229F9" w:rsidP="009229F9">
      <w:pPr>
        <w:spacing w:after="80"/>
        <w:jc w:val="both"/>
        <w:rPr>
          <w:rFonts w:cs="Arial"/>
          <w:bCs/>
          <w:szCs w:val="22"/>
        </w:rPr>
      </w:pPr>
      <w:r>
        <w:rPr>
          <w:rFonts w:cs="Arial"/>
          <w:bCs/>
          <w:szCs w:val="22"/>
        </w:rPr>
        <w:t xml:space="preserve">In this national-level Making it Work </w:t>
      </w:r>
      <w:r w:rsidR="00383FF5">
        <w:rPr>
          <w:rFonts w:cs="Arial"/>
          <w:bCs/>
          <w:szCs w:val="22"/>
        </w:rPr>
        <w:t>project</w:t>
      </w:r>
      <w:r>
        <w:rPr>
          <w:rFonts w:cs="Arial"/>
          <w:bCs/>
          <w:szCs w:val="22"/>
        </w:rPr>
        <w:t>, DPOs, private companies and national authorities worked together to collect good practices on inclusive employment of people with disabilities. They used the findings to train leaders of national DPOs and other relevant stakeholders on inclusive employment.</w:t>
      </w:r>
    </w:p>
    <w:p w:rsidR="009229F9" w:rsidRDefault="009229F9" w:rsidP="009229F9">
      <w:pPr>
        <w:spacing w:after="80"/>
        <w:jc w:val="both"/>
        <w:rPr>
          <w:rFonts w:cs="Arial"/>
          <w:b/>
          <w:szCs w:val="22"/>
        </w:rPr>
      </w:pPr>
      <w:r>
        <w:rPr>
          <w:rFonts w:cs="Arial"/>
          <w:b/>
          <w:szCs w:val="22"/>
        </w:rPr>
        <w:t>National-lev</w:t>
      </w:r>
      <w:r w:rsidR="00383FF5">
        <w:rPr>
          <w:rFonts w:cs="Arial"/>
          <w:b/>
          <w:szCs w:val="22"/>
        </w:rPr>
        <w:t>el outcomes from this project</w:t>
      </w:r>
      <w:r>
        <w:rPr>
          <w:rFonts w:cs="Arial"/>
          <w:b/>
          <w:szCs w:val="22"/>
        </w:rPr>
        <w:t>:</w:t>
      </w:r>
    </w:p>
    <w:p w:rsidR="009229F9" w:rsidRDefault="009229F9" w:rsidP="009229F9">
      <w:pPr>
        <w:numPr>
          <w:ilvl w:val="0"/>
          <w:numId w:val="12"/>
        </w:numPr>
        <w:spacing w:after="80"/>
        <w:jc w:val="both"/>
        <w:rPr>
          <w:rFonts w:cs="Arial"/>
          <w:bCs/>
          <w:szCs w:val="22"/>
        </w:rPr>
      </w:pPr>
      <w:r>
        <w:rPr>
          <w:rFonts w:cs="Arial"/>
          <w:bCs/>
          <w:szCs w:val="22"/>
        </w:rPr>
        <w:t>The El Salvador Ministry of Labour was influenced to amend labour laws to be more inclusive.</w:t>
      </w:r>
    </w:p>
    <w:p w:rsidR="00AA0DE1" w:rsidRPr="004F2C40" w:rsidRDefault="009229F9" w:rsidP="004F2C40">
      <w:pPr>
        <w:numPr>
          <w:ilvl w:val="0"/>
          <w:numId w:val="12"/>
        </w:numPr>
        <w:spacing w:after="80"/>
        <w:jc w:val="both"/>
        <w:rPr>
          <w:rFonts w:cs="Arial"/>
          <w:bCs/>
          <w:szCs w:val="22"/>
        </w:rPr>
      </w:pPr>
      <w:proofErr w:type="spellStart"/>
      <w:r>
        <w:rPr>
          <w:rFonts w:cs="Arial"/>
          <w:bCs/>
          <w:szCs w:val="22"/>
        </w:rPr>
        <w:t>UniLever</w:t>
      </w:r>
      <w:proofErr w:type="spellEnd"/>
      <w:r>
        <w:rPr>
          <w:rFonts w:cs="Arial"/>
          <w:bCs/>
          <w:szCs w:val="22"/>
        </w:rPr>
        <w:t xml:space="preserve"> El Salvador (a large private company and major employer in the region) designed an inclusive model for recruiting people with disabilities. </w:t>
      </w:r>
    </w:p>
    <w:sectPr w:rsidR="00AA0DE1" w:rsidRPr="004F2C40">
      <w:headerReference w:type="even" r:id="rId15"/>
      <w:headerReference w:type="default" r:id="rId16"/>
      <w:footerReference w:type="even" r:id="rId17"/>
      <w:footerReference w:type="default" r:id="rId18"/>
      <w:headerReference w:type="first" r:id="rId19"/>
      <w:footerReference w:type="firs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0942" w:rsidRDefault="00F60942" w:rsidP="009229F9">
      <w:r>
        <w:separator/>
      </w:r>
    </w:p>
  </w:endnote>
  <w:endnote w:type="continuationSeparator" w:id="0">
    <w:p w:rsidR="00F60942" w:rsidRDefault="00F60942" w:rsidP="00922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
    <w:altName w:val="MS Mincho"/>
    <w:panose1 w:val="00000000000000000000"/>
    <w:charset w:val="80"/>
    <w:family w:val="auto"/>
    <w:notTrueType/>
    <w:pitch w:val="variable"/>
    <w:sig w:usb0="00000000"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29F9" w:rsidRDefault="009229F9">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29F9" w:rsidRDefault="009229F9">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29F9" w:rsidRDefault="009229F9">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0942" w:rsidRDefault="00F60942" w:rsidP="009229F9">
      <w:r>
        <w:separator/>
      </w:r>
    </w:p>
  </w:footnote>
  <w:footnote w:type="continuationSeparator" w:id="0">
    <w:p w:rsidR="00F60942" w:rsidRDefault="00F60942" w:rsidP="009229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29F9" w:rsidRDefault="009229F9">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29F9" w:rsidRDefault="009229F9">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29F9" w:rsidRDefault="009229F9">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84F71"/>
    <w:multiLevelType w:val="hybridMultilevel"/>
    <w:tmpl w:val="7E82C878"/>
    <w:lvl w:ilvl="0" w:tplc="040C0001">
      <w:start w:val="1"/>
      <w:numFmt w:val="bullet"/>
      <w:lvlText w:val=""/>
      <w:lvlJc w:val="left"/>
      <w:pPr>
        <w:ind w:left="720" w:hanging="360"/>
      </w:pPr>
      <w:rPr>
        <w:rFonts w:ascii="Symbol" w:hAnsi="Symbol" w:hint="default"/>
      </w:rPr>
    </w:lvl>
    <w:lvl w:ilvl="1" w:tplc="3970EC56">
      <w:start w:val="2"/>
      <w:numFmt w:val="bullet"/>
      <w:lvlText w:val="-"/>
      <w:lvlJc w:val="left"/>
      <w:pPr>
        <w:ind w:left="1440" w:hanging="360"/>
      </w:pPr>
      <w:rPr>
        <w:rFonts w:ascii="Calibri" w:eastAsia="Times New Roman" w:hAnsi="Calibri"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63B4107"/>
    <w:multiLevelType w:val="hybridMultilevel"/>
    <w:tmpl w:val="1AB61E30"/>
    <w:lvl w:ilvl="0" w:tplc="19344B0A">
      <w:numFmt w:val="bullet"/>
      <w:lvlText w:val="-"/>
      <w:lvlJc w:val="left"/>
      <w:pPr>
        <w:ind w:left="720" w:hanging="360"/>
      </w:pPr>
      <w:rPr>
        <w:rFonts w:ascii="Calibri" w:eastAsiaTheme="minorHAnsi"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DC14863"/>
    <w:multiLevelType w:val="hybridMultilevel"/>
    <w:tmpl w:val="10E0DA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4A8047E1"/>
    <w:multiLevelType w:val="hybridMultilevel"/>
    <w:tmpl w:val="9ACAA1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alibri"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alibri"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539242AA"/>
    <w:multiLevelType w:val="hybridMultilevel"/>
    <w:tmpl w:val="4E187F20"/>
    <w:lvl w:ilvl="0" w:tplc="0809000F">
      <w:start w:val="1"/>
      <w:numFmt w:val="decimal"/>
      <w:lvlText w:val="%1."/>
      <w:lvlJc w:val="left"/>
      <w:pPr>
        <w:tabs>
          <w:tab w:val="num" w:pos="720"/>
        </w:tabs>
        <w:ind w:left="720" w:hanging="360"/>
      </w:pPr>
    </w:lvl>
    <w:lvl w:ilvl="1" w:tplc="08090003">
      <w:start w:val="1"/>
      <w:numFmt w:val="bullet"/>
      <w:lvlText w:val="o"/>
      <w:lvlJc w:val="left"/>
      <w:pPr>
        <w:tabs>
          <w:tab w:val="num" w:pos="1440"/>
        </w:tabs>
        <w:ind w:left="1440" w:hanging="360"/>
      </w:pPr>
      <w:rPr>
        <w:rFonts w:ascii="Courier New" w:hAnsi="Courier New" w:cs="Calibri"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alibri"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alibri"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5">
    <w:nsid w:val="563E61B2"/>
    <w:multiLevelType w:val="hybridMultilevel"/>
    <w:tmpl w:val="F5B6F9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alibri"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alibri"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56DD3665"/>
    <w:multiLevelType w:val="hybridMultilevel"/>
    <w:tmpl w:val="1E8A07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alibri"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alibri"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5C660FF1"/>
    <w:multiLevelType w:val="hybridMultilevel"/>
    <w:tmpl w:val="58CE6EDC"/>
    <w:lvl w:ilvl="0" w:tplc="3970EC56">
      <w:start w:val="2"/>
      <w:numFmt w:val="bullet"/>
      <w:lvlText w:val="-"/>
      <w:lvlJc w:val="left"/>
      <w:pPr>
        <w:ind w:left="720" w:hanging="360"/>
      </w:pPr>
      <w:rPr>
        <w:rFonts w:ascii="Calibri" w:eastAsia="Times New Roman"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77F96282"/>
    <w:multiLevelType w:val="hybridMultilevel"/>
    <w:tmpl w:val="174CFCF2"/>
    <w:lvl w:ilvl="0" w:tplc="ADB4702E">
      <w:numFmt w:val="bullet"/>
      <w:lvlText w:val="-"/>
      <w:lvlJc w:val="left"/>
      <w:pPr>
        <w:ind w:left="720" w:hanging="360"/>
      </w:pPr>
      <w:rPr>
        <w:rFonts w:ascii="Calibri" w:eastAsia="Times New Roman"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7F5400DD"/>
    <w:multiLevelType w:val="hybridMultilevel"/>
    <w:tmpl w:val="B16065C2"/>
    <w:lvl w:ilvl="0" w:tplc="3970EC56">
      <w:start w:val="2"/>
      <w:numFmt w:val="bullet"/>
      <w:lvlText w:val="-"/>
      <w:lvlJc w:val="left"/>
      <w:pPr>
        <w:ind w:left="720" w:hanging="360"/>
      </w:pPr>
      <w:rPr>
        <w:rFonts w:ascii="Calibri" w:eastAsia="Times New Roman"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lvlOverride w:ilvl="0">
      <w:startOverride w:val="1"/>
    </w:lvlOverride>
    <w:lvlOverride w:ilvl="1"/>
    <w:lvlOverride w:ilvl="2"/>
    <w:lvlOverride w:ilvl="3"/>
    <w:lvlOverride w:ilvl="4"/>
    <w:lvlOverride w:ilvl="5"/>
    <w:lvlOverride w:ilvl="6"/>
    <w:lvlOverride w:ilvl="7"/>
    <w:lvlOverride w:ilvl="8"/>
  </w:num>
  <w:num w:numId="2">
    <w:abstractNumId w:val="6"/>
  </w:num>
  <w:num w:numId="3">
    <w:abstractNumId w:val="3"/>
  </w:num>
  <w:num w:numId="4">
    <w:abstractNumId w:val="5"/>
  </w:num>
  <w:num w:numId="5">
    <w:abstractNumId w:val="4"/>
  </w:num>
  <w:num w:numId="6">
    <w:abstractNumId w:val="2"/>
  </w:num>
  <w:num w:numId="7">
    <w:abstractNumId w:val="7"/>
  </w:num>
  <w:num w:numId="8">
    <w:abstractNumId w:val="0"/>
  </w:num>
  <w:num w:numId="9">
    <w:abstractNumId w:val="9"/>
  </w:num>
  <w:num w:numId="10">
    <w:abstractNumId w:val="1"/>
  </w:num>
  <w:num w:numId="11">
    <w:abstractNumId w:val="6"/>
  </w:num>
  <w:num w:numId="12">
    <w:abstractNumId w:val="3"/>
  </w:num>
  <w:num w:numId="13">
    <w:abstractNumId w:val="5"/>
  </w:num>
  <w:num w:numId="14">
    <w:abstractNumId w:val="8"/>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BE8"/>
    <w:rsid w:val="000052B9"/>
    <w:rsid w:val="00055DAB"/>
    <w:rsid w:val="00205DFE"/>
    <w:rsid w:val="00286944"/>
    <w:rsid w:val="002C2237"/>
    <w:rsid w:val="00383FF5"/>
    <w:rsid w:val="003E4A1A"/>
    <w:rsid w:val="004A7CA2"/>
    <w:rsid w:val="004B1074"/>
    <w:rsid w:val="004F2C40"/>
    <w:rsid w:val="00584FF2"/>
    <w:rsid w:val="00621BA7"/>
    <w:rsid w:val="00654198"/>
    <w:rsid w:val="00705D25"/>
    <w:rsid w:val="00705FFA"/>
    <w:rsid w:val="007C5656"/>
    <w:rsid w:val="007E70A9"/>
    <w:rsid w:val="007F59B4"/>
    <w:rsid w:val="00865325"/>
    <w:rsid w:val="008B1F0F"/>
    <w:rsid w:val="008C7004"/>
    <w:rsid w:val="0092098E"/>
    <w:rsid w:val="009229F9"/>
    <w:rsid w:val="00A55C4F"/>
    <w:rsid w:val="00AA0DE1"/>
    <w:rsid w:val="00B46494"/>
    <w:rsid w:val="00B80BE8"/>
    <w:rsid w:val="00BA52DC"/>
    <w:rsid w:val="00CF4755"/>
    <w:rsid w:val="00DD6A89"/>
    <w:rsid w:val="00E03C49"/>
    <w:rsid w:val="00E81CEA"/>
    <w:rsid w:val="00EB03B5"/>
    <w:rsid w:val="00F056FB"/>
    <w:rsid w:val="00F60942"/>
    <w:rsid w:val="00FE776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0BE8"/>
    <w:pPr>
      <w:spacing w:after="0" w:line="240" w:lineRule="auto"/>
    </w:pPr>
    <w:rPr>
      <w:rFonts w:eastAsia="Times New Roman" w:cs="Times New Roman"/>
      <w:szCs w:val="24"/>
      <w:lang w:val="en-GB" w:eastAsia="fr-FR"/>
    </w:rPr>
  </w:style>
  <w:style w:type="paragraph" w:styleId="Titre2">
    <w:name w:val="heading 2"/>
    <w:basedOn w:val="Normal"/>
    <w:next w:val="Normal"/>
    <w:link w:val="Titre2Car"/>
    <w:uiPriority w:val="9"/>
    <w:unhideWhenUsed/>
    <w:qFormat/>
    <w:rsid w:val="00E81CEA"/>
    <w:pPr>
      <w:keepNext/>
      <w:keepLines/>
      <w:spacing w:before="200"/>
      <w:outlineLvl w:val="1"/>
    </w:pPr>
    <w:rPr>
      <w:rFonts w:asciiTheme="majorHAnsi" w:eastAsiaTheme="majorEastAsia" w:hAnsiTheme="majorHAnsi" w:cstheme="majorBidi"/>
      <w:b/>
      <w:bCs/>
      <w:color w:val="365F91"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olorfulList-Accent11">
    <w:name w:val="Colorful List - Accent 11"/>
    <w:basedOn w:val="Normal"/>
    <w:uiPriority w:val="34"/>
    <w:qFormat/>
    <w:rsid w:val="00B80BE8"/>
    <w:pPr>
      <w:spacing w:before="80" w:after="100"/>
      <w:ind w:left="720"/>
      <w:contextualSpacing/>
      <w:jc w:val="both"/>
    </w:pPr>
    <w:rPr>
      <w:rFonts w:ascii="Cambria" w:eastAsia="MS ??" w:hAnsi="Cambria"/>
      <w:sz w:val="24"/>
      <w:lang w:val="es-ES_tradnl" w:eastAsia="en-US"/>
    </w:rPr>
  </w:style>
  <w:style w:type="paragraph" w:styleId="Paragraphedeliste">
    <w:name w:val="List Paragraph"/>
    <w:basedOn w:val="Normal"/>
    <w:link w:val="ParagraphedelisteCar"/>
    <w:uiPriority w:val="34"/>
    <w:qFormat/>
    <w:rsid w:val="00B80BE8"/>
    <w:pPr>
      <w:spacing w:after="200" w:line="276" w:lineRule="auto"/>
      <w:ind w:left="720"/>
      <w:contextualSpacing/>
    </w:pPr>
    <w:rPr>
      <w:rFonts w:eastAsiaTheme="minorHAnsi" w:cstheme="minorBidi"/>
      <w:szCs w:val="22"/>
      <w:lang w:val="fr-FR" w:eastAsia="en-US"/>
    </w:rPr>
  </w:style>
  <w:style w:type="character" w:customStyle="1" w:styleId="ParagraphedelisteCar">
    <w:name w:val="Paragraphe de liste Car"/>
    <w:basedOn w:val="Policepardfaut"/>
    <w:link w:val="Paragraphedeliste"/>
    <w:uiPriority w:val="34"/>
    <w:locked/>
    <w:rsid w:val="00B80BE8"/>
  </w:style>
  <w:style w:type="character" w:styleId="Lienhypertexte">
    <w:name w:val="Hyperlink"/>
    <w:rsid w:val="00B80BE8"/>
    <w:rPr>
      <w:color w:val="0000FF"/>
      <w:u w:val="single"/>
    </w:rPr>
  </w:style>
  <w:style w:type="paragraph" w:styleId="Textedebulles">
    <w:name w:val="Balloon Text"/>
    <w:basedOn w:val="Normal"/>
    <w:link w:val="TextedebullesCar"/>
    <w:uiPriority w:val="99"/>
    <w:semiHidden/>
    <w:unhideWhenUsed/>
    <w:rsid w:val="00B80BE8"/>
    <w:rPr>
      <w:rFonts w:ascii="Tahoma" w:hAnsi="Tahoma" w:cs="Tahoma"/>
      <w:sz w:val="16"/>
      <w:szCs w:val="16"/>
    </w:rPr>
  </w:style>
  <w:style w:type="character" w:customStyle="1" w:styleId="TextedebullesCar">
    <w:name w:val="Texte de bulles Car"/>
    <w:basedOn w:val="Policepardfaut"/>
    <w:link w:val="Textedebulles"/>
    <w:uiPriority w:val="99"/>
    <w:semiHidden/>
    <w:rsid w:val="00B80BE8"/>
    <w:rPr>
      <w:rFonts w:ascii="Tahoma" w:eastAsia="Times New Roman" w:hAnsi="Tahoma" w:cs="Tahoma"/>
      <w:sz w:val="16"/>
      <w:szCs w:val="16"/>
      <w:lang w:val="en-GB" w:eastAsia="fr-FR"/>
    </w:rPr>
  </w:style>
  <w:style w:type="character" w:styleId="Emphaseintense">
    <w:name w:val="Intense Emphasis"/>
    <w:basedOn w:val="Policepardfaut"/>
    <w:uiPriority w:val="21"/>
    <w:qFormat/>
    <w:rsid w:val="00EB03B5"/>
    <w:rPr>
      <w:b/>
      <w:bCs/>
      <w:i/>
      <w:iCs/>
      <w:color w:val="4F81BD" w:themeColor="accent1"/>
    </w:rPr>
  </w:style>
  <w:style w:type="character" w:customStyle="1" w:styleId="Titre2Car">
    <w:name w:val="Titre 2 Car"/>
    <w:basedOn w:val="Policepardfaut"/>
    <w:link w:val="Titre2"/>
    <w:uiPriority w:val="9"/>
    <w:rsid w:val="00E81CEA"/>
    <w:rPr>
      <w:rFonts w:asciiTheme="majorHAnsi" w:eastAsiaTheme="majorEastAsia" w:hAnsiTheme="majorHAnsi" w:cstheme="majorBidi"/>
      <w:b/>
      <w:bCs/>
      <w:color w:val="365F91" w:themeColor="accent1" w:themeShade="BF"/>
      <w:sz w:val="26"/>
      <w:szCs w:val="26"/>
      <w:lang w:val="en-GB" w:eastAsia="fr-FR"/>
    </w:rPr>
  </w:style>
  <w:style w:type="table" w:styleId="Grilledutableau">
    <w:name w:val="Table Grid"/>
    <w:basedOn w:val="TableauNormal"/>
    <w:uiPriority w:val="59"/>
    <w:rsid w:val="00E81C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9229F9"/>
    <w:pPr>
      <w:tabs>
        <w:tab w:val="center" w:pos="4536"/>
        <w:tab w:val="right" w:pos="9072"/>
      </w:tabs>
    </w:pPr>
  </w:style>
  <w:style w:type="character" w:customStyle="1" w:styleId="En-tteCar">
    <w:name w:val="En-tête Car"/>
    <w:basedOn w:val="Policepardfaut"/>
    <w:link w:val="En-tte"/>
    <w:uiPriority w:val="99"/>
    <w:rsid w:val="009229F9"/>
    <w:rPr>
      <w:rFonts w:eastAsia="Times New Roman" w:cs="Times New Roman"/>
      <w:szCs w:val="24"/>
      <w:lang w:val="en-GB" w:eastAsia="fr-FR"/>
    </w:rPr>
  </w:style>
  <w:style w:type="paragraph" w:styleId="Pieddepage">
    <w:name w:val="footer"/>
    <w:basedOn w:val="Normal"/>
    <w:link w:val="PieddepageCar"/>
    <w:uiPriority w:val="99"/>
    <w:unhideWhenUsed/>
    <w:rsid w:val="009229F9"/>
    <w:pPr>
      <w:tabs>
        <w:tab w:val="center" w:pos="4536"/>
        <w:tab w:val="right" w:pos="9072"/>
      </w:tabs>
    </w:pPr>
  </w:style>
  <w:style w:type="character" w:customStyle="1" w:styleId="PieddepageCar">
    <w:name w:val="Pied de page Car"/>
    <w:basedOn w:val="Policepardfaut"/>
    <w:link w:val="Pieddepage"/>
    <w:uiPriority w:val="99"/>
    <w:rsid w:val="009229F9"/>
    <w:rPr>
      <w:rFonts w:eastAsia="Times New Roman" w:cs="Times New Roman"/>
      <w:szCs w:val="24"/>
      <w:lang w:val="en-GB"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0BE8"/>
    <w:pPr>
      <w:spacing w:after="0" w:line="240" w:lineRule="auto"/>
    </w:pPr>
    <w:rPr>
      <w:rFonts w:eastAsia="Times New Roman" w:cs="Times New Roman"/>
      <w:szCs w:val="24"/>
      <w:lang w:val="en-GB" w:eastAsia="fr-FR"/>
    </w:rPr>
  </w:style>
  <w:style w:type="paragraph" w:styleId="Titre2">
    <w:name w:val="heading 2"/>
    <w:basedOn w:val="Normal"/>
    <w:next w:val="Normal"/>
    <w:link w:val="Titre2Car"/>
    <w:uiPriority w:val="9"/>
    <w:unhideWhenUsed/>
    <w:qFormat/>
    <w:rsid w:val="00E81CEA"/>
    <w:pPr>
      <w:keepNext/>
      <w:keepLines/>
      <w:spacing w:before="200"/>
      <w:outlineLvl w:val="1"/>
    </w:pPr>
    <w:rPr>
      <w:rFonts w:asciiTheme="majorHAnsi" w:eastAsiaTheme="majorEastAsia" w:hAnsiTheme="majorHAnsi" w:cstheme="majorBidi"/>
      <w:b/>
      <w:bCs/>
      <w:color w:val="365F91"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olorfulList-Accent11">
    <w:name w:val="Colorful List - Accent 11"/>
    <w:basedOn w:val="Normal"/>
    <w:uiPriority w:val="34"/>
    <w:qFormat/>
    <w:rsid w:val="00B80BE8"/>
    <w:pPr>
      <w:spacing w:before="80" w:after="100"/>
      <w:ind w:left="720"/>
      <w:contextualSpacing/>
      <w:jc w:val="both"/>
    </w:pPr>
    <w:rPr>
      <w:rFonts w:ascii="Cambria" w:eastAsia="MS ??" w:hAnsi="Cambria"/>
      <w:sz w:val="24"/>
      <w:lang w:val="es-ES_tradnl" w:eastAsia="en-US"/>
    </w:rPr>
  </w:style>
  <w:style w:type="paragraph" w:styleId="Paragraphedeliste">
    <w:name w:val="List Paragraph"/>
    <w:basedOn w:val="Normal"/>
    <w:link w:val="ParagraphedelisteCar"/>
    <w:uiPriority w:val="34"/>
    <w:qFormat/>
    <w:rsid w:val="00B80BE8"/>
    <w:pPr>
      <w:spacing w:after="200" w:line="276" w:lineRule="auto"/>
      <w:ind w:left="720"/>
      <w:contextualSpacing/>
    </w:pPr>
    <w:rPr>
      <w:rFonts w:eastAsiaTheme="minorHAnsi" w:cstheme="minorBidi"/>
      <w:szCs w:val="22"/>
      <w:lang w:val="fr-FR" w:eastAsia="en-US"/>
    </w:rPr>
  </w:style>
  <w:style w:type="character" w:customStyle="1" w:styleId="ParagraphedelisteCar">
    <w:name w:val="Paragraphe de liste Car"/>
    <w:basedOn w:val="Policepardfaut"/>
    <w:link w:val="Paragraphedeliste"/>
    <w:uiPriority w:val="34"/>
    <w:locked/>
    <w:rsid w:val="00B80BE8"/>
  </w:style>
  <w:style w:type="character" w:styleId="Lienhypertexte">
    <w:name w:val="Hyperlink"/>
    <w:rsid w:val="00B80BE8"/>
    <w:rPr>
      <w:color w:val="0000FF"/>
      <w:u w:val="single"/>
    </w:rPr>
  </w:style>
  <w:style w:type="paragraph" w:styleId="Textedebulles">
    <w:name w:val="Balloon Text"/>
    <w:basedOn w:val="Normal"/>
    <w:link w:val="TextedebullesCar"/>
    <w:uiPriority w:val="99"/>
    <w:semiHidden/>
    <w:unhideWhenUsed/>
    <w:rsid w:val="00B80BE8"/>
    <w:rPr>
      <w:rFonts w:ascii="Tahoma" w:hAnsi="Tahoma" w:cs="Tahoma"/>
      <w:sz w:val="16"/>
      <w:szCs w:val="16"/>
    </w:rPr>
  </w:style>
  <w:style w:type="character" w:customStyle="1" w:styleId="TextedebullesCar">
    <w:name w:val="Texte de bulles Car"/>
    <w:basedOn w:val="Policepardfaut"/>
    <w:link w:val="Textedebulles"/>
    <w:uiPriority w:val="99"/>
    <w:semiHidden/>
    <w:rsid w:val="00B80BE8"/>
    <w:rPr>
      <w:rFonts w:ascii="Tahoma" w:eastAsia="Times New Roman" w:hAnsi="Tahoma" w:cs="Tahoma"/>
      <w:sz w:val="16"/>
      <w:szCs w:val="16"/>
      <w:lang w:val="en-GB" w:eastAsia="fr-FR"/>
    </w:rPr>
  </w:style>
  <w:style w:type="character" w:styleId="Emphaseintense">
    <w:name w:val="Intense Emphasis"/>
    <w:basedOn w:val="Policepardfaut"/>
    <w:uiPriority w:val="21"/>
    <w:qFormat/>
    <w:rsid w:val="00EB03B5"/>
    <w:rPr>
      <w:b/>
      <w:bCs/>
      <w:i/>
      <w:iCs/>
      <w:color w:val="4F81BD" w:themeColor="accent1"/>
    </w:rPr>
  </w:style>
  <w:style w:type="character" w:customStyle="1" w:styleId="Titre2Car">
    <w:name w:val="Titre 2 Car"/>
    <w:basedOn w:val="Policepardfaut"/>
    <w:link w:val="Titre2"/>
    <w:uiPriority w:val="9"/>
    <w:rsid w:val="00E81CEA"/>
    <w:rPr>
      <w:rFonts w:asciiTheme="majorHAnsi" w:eastAsiaTheme="majorEastAsia" w:hAnsiTheme="majorHAnsi" w:cstheme="majorBidi"/>
      <w:b/>
      <w:bCs/>
      <w:color w:val="365F91" w:themeColor="accent1" w:themeShade="BF"/>
      <w:sz w:val="26"/>
      <w:szCs w:val="26"/>
      <w:lang w:val="en-GB" w:eastAsia="fr-FR"/>
    </w:rPr>
  </w:style>
  <w:style w:type="table" w:styleId="Grilledutableau">
    <w:name w:val="Table Grid"/>
    <w:basedOn w:val="TableauNormal"/>
    <w:uiPriority w:val="59"/>
    <w:rsid w:val="00E81C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9229F9"/>
    <w:pPr>
      <w:tabs>
        <w:tab w:val="center" w:pos="4536"/>
        <w:tab w:val="right" w:pos="9072"/>
      </w:tabs>
    </w:pPr>
  </w:style>
  <w:style w:type="character" w:customStyle="1" w:styleId="En-tteCar">
    <w:name w:val="En-tête Car"/>
    <w:basedOn w:val="Policepardfaut"/>
    <w:link w:val="En-tte"/>
    <w:uiPriority w:val="99"/>
    <w:rsid w:val="009229F9"/>
    <w:rPr>
      <w:rFonts w:eastAsia="Times New Roman" w:cs="Times New Roman"/>
      <w:szCs w:val="24"/>
      <w:lang w:val="en-GB" w:eastAsia="fr-FR"/>
    </w:rPr>
  </w:style>
  <w:style w:type="paragraph" w:styleId="Pieddepage">
    <w:name w:val="footer"/>
    <w:basedOn w:val="Normal"/>
    <w:link w:val="PieddepageCar"/>
    <w:uiPriority w:val="99"/>
    <w:unhideWhenUsed/>
    <w:rsid w:val="009229F9"/>
    <w:pPr>
      <w:tabs>
        <w:tab w:val="center" w:pos="4536"/>
        <w:tab w:val="right" w:pos="9072"/>
      </w:tabs>
    </w:pPr>
  </w:style>
  <w:style w:type="character" w:customStyle="1" w:styleId="PieddepageCar">
    <w:name w:val="Pied de page Car"/>
    <w:basedOn w:val="Policepardfaut"/>
    <w:link w:val="Pieddepage"/>
    <w:uiPriority w:val="99"/>
    <w:rsid w:val="009229F9"/>
    <w:rPr>
      <w:rFonts w:eastAsia="Times New Roman" w:cs="Times New Roman"/>
      <w:szCs w:val="24"/>
      <w:lang w:val="en-GB"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931569">
      <w:bodyDiv w:val="1"/>
      <w:marLeft w:val="0"/>
      <w:marRight w:val="0"/>
      <w:marTop w:val="0"/>
      <w:marBottom w:val="0"/>
      <w:divBdr>
        <w:top w:val="none" w:sz="0" w:space="0" w:color="auto"/>
        <w:left w:val="none" w:sz="0" w:space="0" w:color="auto"/>
        <w:bottom w:val="none" w:sz="0" w:space="0" w:color="auto"/>
        <w:right w:val="none" w:sz="0" w:space="0" w:color="auto"/>
      </w:divBdr>
    </w:div>
    <w:div w:id="84693899">
      <w:bodyDiv w:val="1"/>
      <w:marLeft w:val="0"/>
      <w:marRight w:val="0"/>
      <w:marTop w:val="0"/>
      <w:marBottom w:val="0"/>
      <w:divBdr>
        <w:top w:val="none" w:sz="0" w:space="0" w:color="auto"/>
        <w:left w:val="none" w:sz="0" w:space="0" w:color="auto"/>
        <w:bottom w:val="none" w:sz="0" w:space="0" w:color="auto"/>
        <w:right w:val="none" w:sz="0" w:space="0" w:color="auto"/>
      </w:divBdr>
    </w:div>
    <w:div w:id="337778772">
      <w:bodyDiv w:val="1"/>
      <w:marLeft w:val="0"/>
      <w:marRight w:val="0"/>
      <w:marTop w:val="0"/>
      <w:marBottom w:val="0"/>
      <w:divBdr>
        <w:top w:val="none" w:sz="0" w:space="0" w:color="auto"/>
        <w:left w:val="none" w:sz="0" w:space="0" w:color="auto"/>
        <w:bottom w:val="none" w:sz="0" w:space="0" w:color="auto"/>
        <w:right w:val="none" w:sz="0" w:space="0" w:color="auto"/>
      </w:divBdr>
    </w:div>
    <w:div w:id="454720445">
      <w:bodyDiv w:val="1"/>
      <w:marLeft w:val="0"/>
      <w:marRight w:val="0"/>
      <w:marTop w:val="0"/>
      <w:marBottom w:val="0"/>
      <w:divBdr>
        <w:top w:val="none" w:sz="0" w:space="0" w:color="auto"/>
        <w:left w:val="none" w:sz="0" w:space="0" w:color="auto"/>
        <w:bottom w:val="none" w:sz="0" w:space="0" w:color="auto"/>
        <w:right w:val="none" w:sz="0" w:space="0" w:color="auto"/>
      </w:divBdr>
    </w:div>
    <w:div w:id="1295063028">
      <w:bodyDiv w:val="1"/>
      <w:marLeft w:val="0"/>
      <w:marRight w:val="0"/>
      <w:marTop w:val="0"/>
      <w:marBottom w:val="0"/>
      <w:divBdr>
        <w:top w:val="none" w:sz="0" w:space="0" w:color="auto"/>
        <w:left w:val="none" w:sz="0" w:space="0" w:color="auto"/>
        <w:bottom w:val="none" w:sz="0" w:space="0" w:color="auto"/>
        <w:right w:val="none" w:sz="0" w:space="0" w:color="auto"/>
      </w:divBdr>
    </w:div>
    <w:div w:id="1763336560">
      <w:bodyDiv w:val="1"/>
      <w:marLeft w:val="0"/>
      <w:marRight w:val="0"/>
      <w:marTop w:val="0"/>
      <w:marBottom w:val="0"/>
      <w:divBdr>
        <w:top w:val="none" w:sz="0" w:space="0" w:color="auto"/>
        <w:left w:val="none" w:sz="0" w:space="0" w:color="auto"/>
        <w:bottom w:val="none" w:sz="0" w:space="0" w:color="auto"/>
        <w:right w:val="none" w:sz="0" w:space="0" w:color="auto"/>
      </w:divBdr>
    </w:div>
    <w:div w:id="1938244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Colors" Target="diagrams/colors1.xml"/><Relationship Id="rId18" Type="http://schemas.openxmlformats.org/officeDocument/2006/relationships/footer" Target="footer2.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diagramData" Target="diagrams/data1.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jpeg"/><Relationship Id="rId14" Type="http://schemas.microsoft.com/office/2007/relationships/diagramDrawing" Target="diagrams/drawing1.xml"/><Relationship Id="rId22"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35618F1-72BB-45A6-A90F-CCBB0F5B04A3}" type="doc">
      <dgm:prSet loTypeId="urn:microsoft.com/office/officeart/2005/8/layout/cycle2" loCatId="cycle" qsTypeId="urn:microsoft.com/office/officeart/2005/8/quickstyle/simple1" qsCatId="simple" csTypeId="urn:microsoft.com/office/officeart/2005/8/colors/accent1_2" csCatId="accent1" phldr="1"/>
      <dgm:spPr/>
      <dgm:t>
        <a:bodyPr/>
        <a:lstStyle/>
        <a:p>
          <a:endParaRPr lang="en-US"/>
        </a:p>
      </dgm:t>
    </dgm:pt>
    <dgm:pt modelId="{79AF714C-5883-4B34-B58D-A07175A4EC2C}">
      <dgm:prSet phldrT="[Text]" custT="1"/>
      <dgm:spPr>
        <a:xfrm>
          <a:off x="1832746" y="-56009"/>
          <a:ext cx="1542224" cy="1471043"/>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US" sz="1000">
              <a:solidFill>
                <a:sysClr val="window" lastClr="FFFFFF"/>
              </a:solidFill>
              <a:latin typeface="Cambria"/>
              <a:ea typeface="+mn-ea"/>
              <a:cs typeface="+mn-cs"/>
            </a:rPr>
            <a:t>STEP 1: Building multi-stakeholder engagement and agreeing on common criteria for good practice</a:t>
          </a:r>
        </a:p>
      </dgm:t>
    </dgm:pt>
    <dgm:pt modelId="{47CB0CC1-8748-4319-A1B5-992869C871B6}" type="parTrans" cxnId="{694A3B72-91F7-4A73-9B2E-181174C23EFC}">
      <dgm:prSet/>
      <dgm:spPr/>
      <dgm:t>
        <a:bodyPr/>
        <a:lstStyle/>
        <a:p>
          <a:endParaRPr lang="en-US"/>
        </a:p>
      </dgm:t>
    </dgm:pt>
    <dgm:pt modelId="{51C39C36-1E99-4BFC-B30B-4C1C0CC2B33B}" type="sibTrans" cxnId="{694A3B72-91F7-4A73-9B2E-181174C23EFC}">
      <dgm:prSet/>
      <dgm:spPr>
        <a:xfrm rot="2437638">
          <a:off x="3244138" y="1155192"/>
          <a:ext cx="344220" cy="442587"/>
        </a:xfrm>
        <a:solidFill>
          <a:srgbClr val="4F81BD">
            <a:tint val="60000"/>
            <a:hueOff val="0"/>
            <a:satOff val="0"/>
            <a:lumOff val="0"/>
            <a:alphaOff val="0"/>
          </a:srgbClr>
        </a:solidFill>
        <a:ln>
          <a:noFill/>
        </a:ln>
        <a:effectLst/>
      </dgm:spPr>
      <dgm:t>
        <a:bodyPr/>
        <a:lstStyle/>
        <a:p>
          <a:endParaRPr lang="en-US">
            <a:solidFill>
              <a:sysClr val="window" lastClr="FFFFFF"/>
            </a:solidFill>
            <a:latin typeface="Cambria"/>
            <a:ea typeface="+mn-ea"/>
            <a:cs typeface="+mn-cs"/>
          </a:endParaRPr>
        </a:p>
      </dgm:t>
    </dgm:pt>
    <dgm:pt modelId="{11C62ECA-2B6D-4253-B163-6FF485DFDFE1}">
      <dgm:prSet phldrT="[Text]" custT="1"/>
      <dgm:spPr>
        <a:xfrm>
          <a:off x="3487258" y="1343780"/>
          <a:ext cx="1485035" cy="1461313"/>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US" sz="1000">
              <a:solidFill>
                <a:sysClr val="window" lastClr="FFFFFF"/>
              </a:solidFill>
              <a:latin typeface="Cambria"/>
              <a:ea typeface="+mn-ea"/>
              <a:cs typeface="+mn-cs"/>
            </a:rPr>
            <a:t>STEP 2: Collection, analysis and documentation of good practices</a:t>
          </a:r>
        </a:p>
      </dgm:t>
    </dgm:pt>
    <dgm:pt modelId="{E1B7EE67-7FF3-486C-9A36-5E7B6CAF00CB}" type="parTrans" cxnId="{C0F8DC0F-DD1E-4A8D-8E66-4158C8D1917B}">
      <dgm:prSet/>
      <dgm:spPr/>
      <dgm:t>
        <a:bodyPr/>
        <a:lstStyle/>
        <a:p>
          <a:endParaRPr lang="en-US"/>
        </a:p>
      </dgm:t>
    </dgm:pt>
    <dgm:pt modelId="{17698952-093F-46C9-BDF5-50E96C91CFFC}" type="sibTrans" cxnId="{C0F8DC0F-DD1E-4A8D-8E66-4158C8D1917B}">
      <dgm:prSet/>
      <dgm:spPr>
        <a:xfrm rot="8232135">
          <a:off x="3315718" y="2551972"/>
          <a:ext cx="318663" cy="442587"/>
        </a:xfrm>
        <a:solidFill>
          <a:srgbClr val="4F81BD">
            <a:tint val="60000"/>
            <a:hueOff val="0"/>
            <a:satOff val="0"/>
            <a:lumOff val="0"/>
            <a:alphaOff val="0"/>
          </a:srgbClr>
        </a:solidFill>
        <a:ln>
          <a:noFill/>
        </a:ln>
        <a:effectLst/>
      </dgm:spPr>
      <dgm:t>
        <a:bodyPr/>
        <a:lstStyle/>
        <a:p>
          <a:endParaRPr lang="en-US">
            <a:solidFill>
              <a:sysClr val="window" lastClr="FFFFFF"/>
            </a:solidFill>
            <a:latin typeface="Cambria"/>
            <a:ea typeface="+mn-ea"/>
            <a:cs typeface="+mn-cs"/>
          </a:endParaRPr>
        </a:p>
      </dgm:t>
    </dgm:pt>
    <dgm:pt modelId="{92C66F5C-098A-441E-BDC1-9619E3F0A752}">
      <dgm:prSet phldrT="[Text]" custT="1"/>
      <dgm:spPr>
        <a:xfrm>
          <a:off x="2020224" y="2770457"/>
          <a:ext cx="1425158" cy="1380165"/>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US" sz="1000">
              <a:solidFill>
                <a:sysClr val="window" lastClr="FFFFFF"/>
              </a:solidFill>
              <a:latin typeface="Cambria"/>
              <a:ea typeface="+mn-ea"/>
              <a:cs typeface="+mn-cs"/>
            </a:rPr>
            <a:t> STEP 3: Action for change, including advocacy based on good practice evidence</a:t>
          </a:r>
        </a:p>
      </dgm:t>
    </dgm:pt>
    <dgm:pt modelId="{158D15A6-5EC8-45D3-9395-1BA41E356038}" type="parTrans" cxnId="{77092C48-0C4E-4395-B5B4-6B9CDA42695E}">
      <dgm:prSet/>
      <dgm:spPr/>
      <dgm:t>
        <a:bodyPr/>
        <a:lstStyle/>
        <a:p>
          <a:endParaRPr lang="en-US"/>
        </a:p>
      </dgm:t>
    </dgm:pt>
    <dgm:pt modelId="{4A3A4D92-DB8A-4D88-960B-7722242369C2}" type="sibTrans" cxnId="{77092C48-0C4E-4395-B5B4-6B9CDA42695E}">
      <dgm:prSet/>
      <dgm:spPr>
        <a:xfrm rot="12958129">
          <a:off x="1533352" y="2610499"/>
          <a:ext cx="460973" cy="442587"/>
        </a:xfrm>
        <a:solidFill>
          <a:srgbClr val="4F81BD">
            <a:tint val="60000"/>
            <a:hueOff val="0"/>
            <a:satOff val="0"/>
            <a:lumOff val="0"/>
            <a:alphaOff val="0"/>
          </a:srgbClr>
        </a:solidFill>
        <a:ln>
          <a:noFill/>
        </a:ln>
        <a:effectLst/>
      </dgm:spPr>
      <dgm:t>
        <a:bodyPr/>
        <a:lstStyle/>
        <a:p>
          <a:endParaRPr lang="en-US">
            <a:solidFill>
              <a:sysClr val="window" lastClr="FFFFFF"/>
            </a:solidFill>
            <a:latin typeface="Cambria"/>
            <a:ea typeface="+mn-ea"/>
            <a:cs typeface="+mn-cs"/>
          </a:endParaRPr>
        </a:p>
      </dgm:t>
    </dgm:pt>
    <dgm:pt modelId="{013FE2CC-2049-4937-A242-E98225A4ED84}" type="pres">
      <dgm:prSet presAssocID="{E35618F1-72BB-45A6-A90F-CCBB0F5B04A3}" presName="cycle" presStyleCnt="0">
        <dgm:presLayoutVars>
          <dgm:dir/>
          <dgm:resizeHandles val="exact"/>
        </dgm:presLayoutVars>
      </dgm:prSet>
      <dgm:spPr/>
      <dgm:t>
        <a:bodyPr/>
        <a:lstStyle/>
        <a:p>
          <a:endParaRPr lang="en-IN"/>
        </a:p>
      </dgm:t>
    </dgm:pt>
    <dgm:pt modelId="{AEBE35DE-5B1F-4345-9488-E93FD6405C5E}" type="pres">
      <dgm:prSet presAssocID="{79AF714C-5883-4B34-B58D-A07175A4EC2C}" presName="node" presStyleLbl="node1" presStyleIdx="0" presStyleCnt="3" custScaleX="101444" custScaleY="98991" custRadScaleRad="100548" custRadScaleInc="-4129">
        <dgm:presLayoutVars>
          <dgm:bulletEnabled val="1"/>
        </dgm:presLayoutVars>
      </dgm:prSet>
      <dgm:spPr>
        <a:prstGeom prst="ellipse">
          <a:avLst/>
        </a:prstGeom>
      </dgm:spPr>
      <dgm:t>
        <a:bodyPr/>
        <a:lstStyle/>
        <a:p>
          <a:endParaRPr lang="en-US"/>
        </a:p>
      </dgm:t>
    </dgm:pt>
    <dgm:pt modelId="{85E36741-E878-4447-9E3E-24923FCDFD5E}" type="pres">
      <dgm:prSet presAssocID="{51C39C36-1E99-4BFC-B30B-4C1C0CC2B33B}" presName="sibTrans" presStyleLbl="sibTrans2D1" presStyleIdx="0" presStyleCnt="3" custLinFactNeighborX="31773"/>
      <dgm:spPr>
        <a:prstGeom prst="rightArrow">
          <a:avLst>
            <a:gd name="adj1" fmla="val 60000"/>
            <a:gd name="adj2" fmla="val 50000"/>
          </a:avLst>
        </a:prstGeom>
      </dgm:spPr>
      <dgm:t>
        <a:bodyPr/>
        <a:lstStyle/>
        <a:p>
          <a:endParaRPr lang="en-IN"/>
        </a:p>
      </dgm:t>
    </dgm:pt>
    <dgm:pt modelId="{86979F1E-DEC2-4697-8EAC-BA342DC074E4}" type="pres">
      <dgm:prSet presAssocID="{51C39C36-1E99-4BFC-B30B-4C1C0CC2B33B}" presName="connectorText" presStyleLbl="sibTrans2D1" presStyleIdx="0" presStyleCnt="3"/>
      <dgm:spPr/>
      <dgm:t>
        <a:bodyPr/>
        <a:lstStyle/>
        <a:p>
          <a:endParaRPr lang="en-IN"/>
        </a:p>
      </dgm:t>
    </dgm:pt>
    <dgm:pt modelId="{70873307-98F7-4C9D-A19F-9D7BC9526127}" type="pres">
      <dgm:prSet presAssocID="{11C62ECA-2B6D-4253-B163-6FF485DFDFE1}" presName="node" presStyleLbl="node1" presStyleIdx="1" presStyleCnt="3" custScaleX="97682" custScaleY="98336" custRadScaleRad="109802" custRadScaleInc="-4853">
        <dgm:presLayoutVars>
          <dgm:bulletEnabled val="1"/>
        </dgm:presLayoutVars>
      </dgm:prSet>
      <dgm:spPr>
        <a:prstGeom prst="ellipse">
          <a:avLst/>
        </a:prstGeom>
      </dgm:spPr>
      <dgm:t>
        <a:bodyPr/>
        <a:lstStyle/>
        <a:p>
          <a:endParaRPr lang="en-US"/>
        </a:p>
      </dgm:t>
    </dgm:pt>
    <dgm:pt modelId="{AE8B92E7-EB27-45BA-8C7F-C021920891FB}" type="pres">
      <dgm:prSet presAssocID="{17698952-093F-46C9-BDF5-50E96C91CFFC}" presName="sibTrans" presStyleLbl="sibTrans2D1" presStyleIdx="1" presStyleCnt="3" custLinFactNeighborY="33835" custRadScaleRad="40639" custRadScaleInc="-2147483648"/>
      <dgm:spPr>
        <a:prstGeom prst="rightArrow">
          <a:avLst>
            <a:gd name="adj1" fmla="val 60000"/>
            <a:gd name="adj2" fmla="val 50000"/>
          </a:avLst>
        </a:prstGeom>
      </dgm:spPr>
      <dgm:t>
        <a:bodyPr/>
        <a:lstStyle/>
        <a:p>
          <a:endParaRPr lang="en-IN"/>
        </a:p>
      </dgm:t>
    </dgm:pt>
    <dgm:pt modelId="{65500BF5-4798-48D9-B7ED-7ED750544A59}" type="pres">
      <dgm:prSet presAssocID="{17698952-093F-46C9-BDF5-50E96C91CFFC}" presName="connectorText" presStyleLbl="sibTrans2D1" presStyleIdx="1" presStyleCnt="3"/>
      <dgm:spPr/>
      <dgm:t>
        <a:bodyPr/>
        <a:lstStyle/>
        <a:p>
          <a:endParaRPr lang="en-IN"/>
        </a:p>
      </dgm:t>
    </dgm:pt>
    <dgm:pt modelId="{3731B295-0EAA-4261-8C5B-35BFAA08795A}" type="pres">
      <dgm:prSet presAssocID="{92C66F5C-098A-441E-BDC1-9619E3F0A752}" presName="node" presStyleLbl="node1" presStyleIdx="2" presStyleCnt="3" custScaleX="93744" custScaleY="92875" custRadScaleRad="104251" custRadScaleInc="2234">
        <dgm:presLayoutVars>
          <dgm:bulletEnabled val="1"/>
        </dgm:presLayoutVars>
      </dgm:prSet>
      <dgm:spPr>
        <a:prstGeom prst="ellipse">
          <a:avLst/>
        </a:prstGeom>
      </dgm:spPr>
      <dgm:t>
        <a:bodyPr/>
        <a:lstStyle/>
        <a:p>
          <a:endParaRPr lang="en-US"/>
        </a:p>
      </dgm:t>
    </dgm:pt>
    <dgm:pt modelId="{F9A5DFB3-297E-45D8-AF1B-4F418913F204}" type="pres">
      <dgm:prSet presAssocID="{4A3A4D92-DB8A-4D88-960B-7722242369C2}" presName="sibTrans" presStyleLbl="sibTrans2D1" presStyleIdx="2" presStyleCnt="3" custScaleX="122861" custLinFactNeighborX="-32209" custLinFactNeighborY="-2996"/>
      <dgm:spPr>
        <a:prstGeom prst="rightArrow">
          <a:avLst>
            <a:gd name="adj1" fmla="val 60000"/>
            <a:gd name="adj2" fmla="val 50000"/>
          </a:avLst>
        </a:prstGeom>
      </dgm:spPr>
      <dgm:t>
        <a:bodyPr/>
        <a:lstStyle/>
        <a:p>
          <a:endParaRPr lang="en-IN"/>
        </a:p>
      </dgm:t>
    </dgm:pt>
    <dgm:pt modelId="{28F95A97-6A81-4530-B594-72F44CE75EA1}" type="pres">
      <dgm:prSet presAssocID="{4A3A4D92-DB8A-4D88-960B-7722242369C2}" presName="connectorText" presStyleLbl="sibTrans2D1" presStyleIdx="2" presStyleCnt="3"/>
      <dgm:spPr/>
      <dgm:t>
        <a:bodyPr/>
        <a:lstStyle/>
        <a:p>
          <a:endParaRPr lang="en-IN"/>
        </a:p>
      </dgm:t>
    </dgm:pt>
  </dgm:ptLst>
  <dgm:cxnLst>
    <dgm:cxn modelId="{0F4C4C62-200D-4DB8-A8E8-B6DF087ADF36}" type="presOf" srcId="{51C39C36-1E99-4BFC-B30B-4C1C0CC2B33B}" destId="{86979F1E-DEC2-4697-8EAC-BA342DC074E4}" srcOrd="1" destOrd="0" presId="urn:microsoft.com/office/officeart/2005/8/layout/cycle2"/>
    <dgm:cxn modelId="{E3E5DE0E-2D7F-44C4-9985-F6AF9DD2E83E}" type="presOf" srcId="{17698952-093F-46C9-BDF5-50E96C91CFFC}" destId="{AE8B92E7-EB27-45BA-8C7F-C021920891FB}" srcOrd="0" destOrd="0" presId="urn:microsoft.com/office/officeart/2005/8/layout/cycle2"/>
    <dgm:cxn modelId="{3B42EB4F-0145-47B7-8DBD-5D2EFA39B87F}" type="presOf" srcId="{17698952-093F-46C9-BDF5-50E96C91CFFC}" destId="{65500BF5-4798-48D9-B7ED-7ED750544A59}" srcOrd="1" destOrd="0" presId="urn:microsoft.com/office/officeart/2005/8/layout/cycle2"/>
    <dgm:cxn modelId="{538DE2AB-E51A-401F-AF27-E3E70CD2B524}" type="presOf" srcId="{79AF714C-5883-4B34-B58D-A07175A4EC2C}" destId="{AEBE35DE-5B1F-4345-9488-E93FD6405C5E}" srcOrd="0" destOrd="0" presId="urn:microsoft.com/office/officeart/2005/8/layout/cycle2"/>
    <dgm:cxn modelId="{C045943D-129F-4642-A4B4-D0F51B342A94}" type="presOf" srcId="{4A3A4D92-DB8A-4D88-960B-7722242369C2}" destId="{28F95A97-6A81-4530-B594-72F44CE75EA1}" srcOrd="1" destOrd="0" presId="urn:microsoft.com/office/officeart/2005/8/layout/cycle2"/>
    <dgm:cxn modelId="{694A3B72-91F7-4A73-9B2E-181174C23EFC}" srcId="{E35618F1-72BB-45A6-A90F-CCBB0F5B04A3}" destId="{79AF714C-5883-4B34-B58D-A07175A4EC2C}" srcOrd="0" destOrd="0" parTransId="{47CB0CC1-8748-4319-A1B5-992869C871B6}" sibTransId="{51C39C36-1E99-4BFC-B30B-4C1C0CC2B33B}"/>
    <dgm:cxn modelId="{77092C48-0C4E-4395-B5B4-6B9CDA42695E}" srcId="{E35618F1-72BB-45A6-A90F-CCBB0F5B04A3}" destId="{92C66F5C-098A-441E-BDC1-9619E3F0A752}" srcOrd="2" destOrd="0" parTransId="{158D15A6-5EC8-45D3-9395-1BA41E356038}" sibTransId="{4A3A4D92-DB8A-4D88-960B-7722242369C2}"/>
    <dgm:cxn modelId="{C0F8DC0F-DD1E-4A8D-8E66-4158C8D1917B}" srcId="{E35618F1-72BB-45A6-A90F-CCBB0F5B04A3}" destId="{11C62ECA-2B6D-4253-B163-6FF485DFDFE1}" srcOrd="1" destOrd="0" parTransId="{E1B7EE67-7FF3-486C-9A36-5E7B6CAF00CB}" sibTransId="{17698952-093F-46C9-BDF5-50E96C91CFFC}"/>
    <dgm:cxn modelId="{4F01D201-9A55-47F0-BAF3-8D919106E28F}" type="presOf" srcId="{4A3A4D92-DB8A-4D88-960B-7722242369C2}" destId="{F9A5DFB3-297E-45D8-AF1B-4F418913F204}" srcOrd="0" destOrd="0" presId="urn:microsoft.com/office/officeart/2005/8/layout/cycle2"/>
    <dgm:cxn modelId="{F1AF0214-BB4C-4759-9802-03889CD4FFC0}" type="presOf" srcId="{92C66F5C-098A-441E-BDC1-9619E3F0A752}" destId="{3731B295-0EAA-4261-8C5B-35BFAA08795A}" srcOrd="0" destOrd="0" presId="urn:microsoft.com/office/officeart/2005/8/layout/cycle2"/>
    <dgm:cxn modelId="{C355336F-0F55-4A62-B734-B62BC75B5337}" type="presOf" srcId="{11C62ECA-2B6D-4253-B163-6FF485DFDFE1}" destId="{70873307-98F7-4C9D-A19F-9D7BC9526127}" srcOrd="0" destOrd="0" presId="urn:microsoft.com/office/officeart/2005/8/layout/cycle2"/>
    <dgm:cxn modelId="{B4906216-7CCF-438D-8908-9C9FD6673D51}" type="presOf" srcId="{51C39C36-1E99-4BFC-B30B-4C1C0CC2B33B}" destId="{85E36741-E878-4447-9E3E-24923FCDFD5E}" srcOrd="0" destOrd="0" presId="urn:microsoft.com/office/officeart/2005/8/layout/cycle2"/>
    <dgm:cxn modelId="{F1E2CF8E-43D5-448B-93E8-124C09299456}" type="presOf" srcId="{E35618F1-72BB-45A6-A90F-CCBB0F5B04A3}" destId="{013FE2CC-2049-4937-A242-E98225A4ED84}" srcOrd="0" destOrd="0" presId="urn:microsoft.com/office/officeart/2005/8/layout/cycle2"/>
    <dgm:cxn modelId="{1FA0354B-7D5F-4240-B521-9C96331B282B}" type="presParOf" srcId="{013FE2CC-2049-4937-A242-E98225A4ED84}" destId="{AEBE35DE-5B1F-4345-9488-E93FD6405C5E}" srcOrd="0" destOrd="0" presId="urn:microsoft.com/office/officeart/2005/8/layout/cycle2"/>
    <dgm:cxn modelId="{3D435167-9F1D-454C-8A2D-7361B1FBD9DD}" type="presParOf" srcId="{013FE2CC-2049-4937-A242-E98225A4ED84}" destId="{85E36741-E878-4447-9E3E-24923FCDFD5E}" srcOrd="1" destOrd="0" presId="urn:microsoft.com/office/officeart/2005/8/layout/cycle2"/>
    <dgm:cxn modelId="{9B4BD75D-9CE3-41AC-9610-EA14FDBACE35}" type="presParOf" srcId="{85E36741-E878-4447-9E3E-24923FCDFD5E}" destId="{86979F1E-DEC2-4697-8EAC-BA342DC074E4}" srcOrd="0" destOrd="0" presId="urn:microsoft.com/office/officeart/2005/8/layout/cycle2"/>
    <dgm:cxn modelId="{40B04323-B027-41EE-9AF9-58D8DA091887}" type="presParOf" srcId="{013FE2CC-2049-4937-A242-E98225A4ED84}" destId="{70873307-98F7-4C9D-A19F-9D7BC9526127}" srcOrd="2" destOrd="0" presId="urn:microsoft.com/office/officeart/2005/8/layout/cycle2"/>
    <dgm:cxn modelId="{58D3AFAC-DF1F-46AC-8D18-2A522FFA3BEA}" type="presParOf" srcId="{013FE2CC-2049-4937-A242-E98225A4ED84}" destId="{AE8B92E7-EB27-45BA-8C7F-C021920891FB}" srcOrd="3" destOrd="0" presId="urn:microsoft.com/office/officeart/2005/8/layout/cycle2"/>
    <dgm:cxn modelId="{FF86B940-6A50-48A6-8F66-F328CA98D2DF}" type="presParOf" srcId="{AE8B92E7-EB27-45BA-8C7F-C021920891FB}" destId="{65500BF5-4798-48D9-B7ED-7ED750544A59}" srcOrd="0" destOrd="0" presId="urn:microsoft.com/office/officeart/2005/8/layout/cycle2"/>
    <dgm:cxn modelId="{CC722CCC-B7C8-40CD-8505-B8D06C7E33EC}" type="presParOf" srcId="{013FE2CC-2049-4937-A242-E98225A4ED84}" destId="{3731B295-0EAA-4261-8C5B-35BFAA08795A}" srcOrd="4" destOrd="0" presId="urn:microsoft.com/office/officeart/2005/8/layout/cycle2"/>
    <dgm:cxn modelId="{C92ECBD6-A5A0-4CB2-8232-112C383825D6}" type="presParOf" srcId="{013FE2CC-2049-4937-A242-E98225A4ED84}" destId="{F9A5DFB3-297E-45D8-AF1B-4F418913F204}" srcOrd="5" destOrd="0" presId="urn:microsoft.com/office/officeart/2005/8/layout/cycle2"/>
    <dgm:cxn modelId="{259D9A33-7649-4BD5-98DB-45D9A4822AA5}" type="presParOf" srcId="{F9A5DFB3-297E-45D8-AF1B-4F418913F204}" destId="{28F95A97-6A81-4530-B594-72F44CE75EA1}" srcOrd="0" destOrd="0" presId="urn:microsoft.com/office/officeart/2005/8/layout/cycle2"/>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EBE35DE-5B1F-4345-9488-E93FD6405C5E}">
      <dsp:nvSpPr>
        <dsp:cNvPr id="0" name=""/>
        <dsp:cNvSpPr/>
      </dsp:nvSpPr>
      <dsp:spPr>
        <a:xfrm>
          <a:off x="2186456" y="7150"/>
          <a:ext cx="1339411" cy="1307023"/>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US" sz="1000" kern="1200">
              <a:solidFill>
                <a:sysClr val="window" lastClr="FFFFFF"/>
              </a:solidFill>
              <a:latin typeface="Cambria"/>
              <a:ea typeface="+mn-ea"/>
              <a:cs typeface="+mn-cs"/>
            </a:rPr>
            <a:t>STEP 1: Building multi-stakeholder engagement and agreeing on common criteria for good practice</a:t>
          </a:r>
        </a:p>
      </dsp:txBody>
      <dsp:txXfrm>
        <a:off x="2382608" y="198559"/>
        <a:ext cx="947107" cy="924205"/>
      </dsp:txXfrm>
    </dsp:sp>
    <dsp:sp modelId="{85E36741-E878-4447-9E3E-24923FCDFD5E}">
      <dsp:nvSpPr>
        <dsp:cNvPr id="0" name=""/>
        <dsp:cNvSpPr/>
      </dsp:nvSpPr>
      <dsp:spPr>
        <a:xfrm rot="3350260">
          <a:off x="3362063" y="1293584"/>
          <a:ext cx="410545" cy="445616"/>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844550">
            <a:lnSpc>
              <a:spcPct val="90000"/>
            </a:lnSpc>
            <a:spcBef>
              <a:spcPct val="0"/>
            </a:spcBef>
            <a:spcAft>
              <a:spcPct val="35000"/>
            </a:spcAft>
          </a:pPr>
          <a:endParaRPr lang="en-US" sz="1900" kern="1200">
            <a:solidFill>
              <a:sysClr val="window" lastClr="FFFFFF"/>
            </a:solidFill>
            <a:latin typeface="Cambria"/>
            <a:ea typeface="+mn-ea"/>
            <a:cs typeface="+mn-cs"/>
          </a:endParaRPr>
        </a:p>
      </dsp:txBody>
      <dsp:txXfrm>
        <a:off x="3389064" y="1331751"/>
        <a:ext cx="287382" cy="267370"/>
      </dsp:txXfrm>
    </dsp:sp>
    <dsp:sp modelId="{70873307-98F7-4C9D-A19F-9D7BC9526127}">
      <dsp:nvSpPr>
        <dsp:cNvPr id="0" name=""/>
        <dsp:cNvSpPr/>
      </dsp:nvSpPr>
      <dsp:spPr>
        <a:xfrm>
          <a:off x="3379811" y="1733333"/>
          <a:ext cx="1289739" cy="1298375"/>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US" sz="1000" kern="1200">
              <a:solidFill>
                <a:sysClr val="window" lastClr="FFFFFF"/>
              </a:solidFill>
              <a:latin typeface="Cambria"/>
              <a:ea typeface="+mn-ea"/>
              <a:cs typeface="+mn-cs"/>
            </a:rPr>
            <a:t>STEP 2: Collection, analysis and documentation of good practices</a:t>
          </a:r>
        </a:p>
      </dsp:txBody>
      <dsp:txXfrm>
        <a:off x="3568689" y="1923476"/>
        <a:ext cx="911983" cy="918089"/>
      </dsp:txXfrm>
    </dsp:sp>
    <dsp:sp modelId="{AE8B92E7-EB27-45BA-8C7F-C021920891FB}">
      <dsp:nvSpPr>
        <dsp:cNvPr id="0" name=""/>
        <dsp:cNvSpPr/>
      </dsp:nvSpPr>
      <dsp:spPr>
        <a:xfrm rot="10800006">
          <a:off x="2703341" y="2310484"/>
          <a:ext cx="478038" cy="445616"/>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844550">
            <a:lnSpc>
              <a:spcPct val="90000"/>
            </a:lnSpc>
            <a:spcBef>
              <a:spcPct val="0"/>
            </a:spcBef>
            <a:spcAft>
              <a:spcPct val="35000"/>
            </a:spcAft>
          </a:pPr>
          <a:endParaRPr lang="en-US" sz="1900" kern="1200">
            <a:solidFill>
              <a:sysClr val="window" lastClr="FFFFFF"/>
            </a:solidFill>
            <a:latin typeface="Cambria"/>
            <a:ea typeface="+mn-ea"/>
            <a:cs typeface="+mn-cs"/>
          </a:endParaRPr>
        </a:p>
      </dsp:txBody>
      <dsp:txXfrm rot="10800000">
        <a:off x="2837026" y="2399607"/>
        <a:ext cx="344353" cy="267370"/>
      </dsp:txXfrm>
    </dsp:sp>
    <dsp:sp modelId="{3731B295-0EAA-4261-8C5B-35BFAA08795A}">
      <dsp:nvSpPr>
        <dsp:cNvPr id="0" name=""/>
        <dsp:cNvSpPr/>
      </dsp:nvSpPr>
      <dsp:spPr>
        <a:xfrm>
          <a:off x="1240107" y="1769381"/>
          <a:ext cx="1237744" cy="1226270"/>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US" sz="1000" kern="1200">
              <a:solidFill>
                <a:sysClr val="window" lastClr="FFFFFF"/>
              </a:solidFill>
              <a:latin typeface="Cambria"/>
              <a:ea typeface="+mn-ea"/>
              <a:cs typeface="+mn-cs"/>
            </a:rPr>
            <a:t> STEP 3: Action for change, including advocacy based on good practice evidence</a:t>
          </a:r>
        </a:p>
      </dsp:txBody>
      <dsp:txXfrm>
        <a:off x="1421370" y="1948964"/>
        <a:ext cx="875218" cy="867104"/>
      </dsp:txXfrm>
    </dsp:sp>
    <dsp:sp modelId="{F9A5DFB3-297E-45D8-AF1B-4F418913F204}">
      <dsp:nvSpPr>
        <dsp:cNvPr id="0" name=""/>
        <dsp:cNvSpPr/>
      </dsp:nvSpPr>
      <dsp:spPr>
        <a:xfrm rot="18004592">
          <a:off x="1985220" y="1313311"/>
          <a:ext cx="467361" cy="445616"/>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844550">
            <a:lnSpc>
              <a:spcPct val="90000"/>
            </a:lnSpc>
            <a:spcBef>
              <a:spcPct val="0"/>
            </a:spcBef>
            <a:spcAft>
              <a:spcPct val="35000"/>
            </a:spcAft>
          </a:pPr>
          <a:endParaRPr lang="en-US" sz="1900" kern="1200">
            <a:solidFill>
              <a:sysClr val="window" lastClr="FFFFFF"/>
            </a:solidFill>
            <a:latin typeface="Cambria"/>
            <a:ea typeface="+mn-ea"/>
            <a:cs typeface="+mn-cs"/>
          </a:endParaRPr>
        </a:p>
      </dsp:txBody>
      <dsp:txXfrm>
        <a:off x="2018564" y="1460277"/>
        <a:ext cx="333676" cy="267370"/>
      </dsp:txXfrm>
    </dsp:sp>
  </dsp:spTree>
</dsp:drawing>
</file>

<file path=word/diagrams/layout1.xml><?xml version="1.0" encoding="utf-8"?>
<dgm:layoutDef xmlns:dgm="http://schemas.openxmlformats.org/drawingml/2006/diagram" xmlns:a="http://schemas.openxmlformats.org/drawingml/2006/main" uniqueId="urn:microsoft.com/office/officeart/2005/8/layout/cycle2">
  <dgm:title val=""/>
  <dgm:desc val=""/>
  <dgm:catLst>
    <dgm:cat type="cycle" pri="1000"/>
    <dgm:cat type="convert" pri="10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onstrLst>
      <dgm:constr type="w" for="ch" ptType="node" refType="w"/>
      <dgm:constr type="w" for="ch" ptType="sibTrans" refType="w" refFor="ch" refPtType="node" op="equ" fact="0.25"/>
      <dgm:constr type="sibSp" refType="w" refFor="ch" refPtType="node" fact="0.5"/>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sibTransForEach" axis="followSib" ptType="sibTrans" hideLastTrans="0" cnt="1">
            <dgm:layoutNode name="sibTrans">
              <dgm:choose name="Name11">
                <dgm:if name="Name12" axis="par ch" ptType="doc node" func="cnt" op="lt" val="3">
                  <dgm:alg type="conn">
                    <dgm:param type="begPts" val="radial"/>
                    <dgm:param type="endPts" val="radial"/>
                  </dgm:alg>
                </dgm:if>
                <dgm:else name="Name13">
                  <dgm:alg type="conn">
                    <dgm:param type="begPts" val="auto"/>
                    <dgm:param type="endPts" val="auto"/>
                  </dgm:alg>
                </dgm:else>
              </dgm:choose>
              <dgm:shape xmlns:r="http://schemas.openxmlformats.org/officeDocument/2006/relationships" type="conn" r:blip="">
                <dgm:adjLst/>
              </dgm:shape>
              <dgm:presOf axis="self"/>
              <dgm:constrLst>
                <dgm:constr type="h" refType="w" fact="1.35"/>
                <dgm:constr type="connDist"/>
                <dgm:constr type="w" for="ch" refType="connDist" fact="0.45"/>
                <dgm:constr type="h" for="ch" refType="h"/>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14"/>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1748</Words>
  <Characters>9619</Characters>
  <Application>Microsoft Office Word</Application>
  <DocSecurity>0</DocSecurity>
  <Lines>80</Lines>
  <Paragraphs>22</Paragraphs>
  <ScaleCrop>false</ScaleCrop>
  <HeadingPairs>
    <vt:vector size="2" baseType="variant">
      <vt:variant>
        <vt:lpstr>Titre</vt:lpstr>
      </vt:variant>
      <vt:variant>
        <vt:i4>1</vt:i4>
      </vt:variant>
    </vt:vector>
  </HeadingPairs>
  <TitlesOfParts>
    <vt:vector size="1" baseType="lpstr">
      <vt:lpstr/>
    </vt:vector>
  </TitlesOfParts>
  <Company>HANDICAP INTERNATIONAL</Company>
  <LinksUpToDate>false</LinksUpToDate>
  <CharactersWithSpaces>11345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Juliette DAVODEAU</dc:creator>
  <cp:lastModifiedBy>Juliette DAVODEAU</cp:lastModifiedBy>
  <cp:revision>2</cp:revision>
  <dcterms:created xsi:type="dcterms:W3CDTF">2017-02-01T09:55:00Z</dcterms:created>
  <dcterms:modified xsi:type="dcterms:W3CDTF">2017-02-01T09:55:00Z</dcterms:modified>
</cp:coreProperties>
</file>